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3A" w:rsidRDefault="00056F3A" w:rsidP="00056F3A">
      <w:pPr>
        <w:rPr>
          <w:rFonts w:ascii="ISOCPEUR" w:hAnsi="ISOCPEUR"/>
          <w:i/>
          <w:sz w:val="32"/>
          <w:szCs w:val="32"/>
        </w:rPr>
      </w:pPr>
    </w:p>
    <w:p w:rsidR="00056F3A" w:rsidRPr="00A50B8E" w:rsidRDefault="00056F3A" w:rsidP="00056F3A">
      <w:pPr>
        <w:pStyle w:val="1"/>
        <w:tabs>
          <w:tab w:val="left" w:pos="1134"/>
          <w:tab w:val="left" w:pos="1425"/>
          <w:tab w:val="left" w:pos="2127"/>
        </w:tabs>
        <w:ind w:left="0" w:firstLine="0"/>
        <w:jc w:val="center"/>
        <w:rPr>
          <w:rFonts w:ascii="ISOCPEUR" w:hAnsi="ISOCPEUR"/>
          <w:i/>
          <w:iCs/>
          <w:color w:val="auto"/>
          <w:sz w:val="32"/>
          <w:szCs w:val="32"/>
        </w:rPr>
      </w:pPr>
      <w:bookmarkStart w:id="0" w:name="_Toc16692245"/>
      <w:r w:rsidRPr="00A50B8E">
        <w:rPr>
          <w:rFonts w:ascii="ISOCPEUR" w:hAnsi="ISOCPEUR"/>
          <w:i/>
          <w:iCs/>
          <w:color w:val="auto"/>
          <w:sz w:val="32"/>
          <w:szCs w:val="32"/>
        </w:rPr>
        <w:t>Общие указания</w:t>
      </w:r>
      <w:bookmarkEnd w:id="0"/>
    </w:p>
    <w:p w:rsidR="00056F3A" w:rsidRPr="00A50B8E" w:rsidRDefault="00056F3A" w:rsidP="00056F3A">
      <w:pPr>
        <w:tabs>
          <w:tab w:val="left" w:pos="1134"/>
          <w:tab w:val="left" w:pos="1254"/>
          <w:tab w:val="left" w:pos="1425"/>
          <w:tab w:val="left" w:pos="2127"/>
          <w:tab w:val="left" w:pos="10203"/>
          <w:tab w:val="left" w:pos="11624"/>
        </w:tabs>
        <w:ind w:firstLine="851"/>
        <w:rPr>
          <w:rFonts w:ascii="ISOCPEUR" w:hAnsi="ISOCPEUR"/>
          <w:i/>
          <w:color w:val="000000"/>
          <w:sz w:val="32"/>
          <w:szCs w:val="32"/>
        </w:rPr>
      </w:pPr>
    </w:p>
    <w:p w:rsidR="00056F3A" w:rsidRPr="00A50B8E" w:rsidRDefault="00056F3A" w:rsidP="00056F3A">
      <w:pPr>
        <w:tabs>
          <w:tab w:val="left" w:pos="1134"/>
          <w:tab w:val="left" w:pos="1254"/>
          <w:tab w:val="left" w:pos="1425"/>
          <w:tab w:val="left" w:pos="2127"/>
          <w:tab w:val="left" w:pos="10203"/>
          <w:tab w:val="left" w:pos="11624"/>
        </w:tabs>
        <w:ind w:firstLine="851"/>
        <w:rPr>
          <w:rFonts w:ascii="ISOCPEUR" w:hAnsi="ISOCPEUR"/>
          <w:i/>
          <w:color w:val="000000"/>
          <w:sz w:val="32"/>
          <w:szCs w:val="32"/>
        </w:rPr>
      </w:pPr>
      <w:r w:rsidRPr="00A50B8E">
        <w:rPr>
          <w:rFonts w:ascii="ISOCPEUR" w:hAnsi="ISOCPEUR"/>
          <w:i/>
          <w:color w:val="000000"/>
          <w:sz w:val="32"/>
          <w:szCs w:val="32"/>
        </w:rPr>
        <w:t>Проектная документация выполнена на основании:</w:t>
      </w:r>
    </w:p>
    <w:p w:rsidR="00056F3A" w:rsidRPr="00A50B8E" w:rsidRDefault="00056F3A" w:rsidP="00056F3A">
      <w:pPr>
        <w:tabs>
          <w:tab w:val="left" w:pos="1134"/>
          <w:tab w:val="left" w:pos="1254"/>
          <w:tab w:val="left" w:pos="1425"/>
          <w:tab w:val="left" w:pos="2127"/>
          <w:tab w:val="left" w:pos="10203"/>
          <w:tab w:val="left" w:pos="11624"/>
        </w:tabs>
        <w:ind w:firstLine="851"/>
        <w:rPr>
          <w:rFonts w:ascii="ISOCPEUR" w:hAnsi="ISOCPEUR"/>
          <w:i/>
          <w:color w:val="000000"/>
          <w:sz w:val="32"/>
          <w:szCs w:val="32"/>
        </w:rPr>
      </w:pPr>
      <w:r w:rsidRPr="00A50B8E">
        <w:rPr>
          <w:rFonts w:ascii="ISOCPEUR" w:hAnsi="ISOCPEUR"/>
          <w:i/>
          <w:color w:val="000000"/>
          <w:sz w:val="32"/>
          <w:szCs w:val="32"/>
        </w:rPr>
        <w:t xml:space="preserve">Заказчик – </w:t>
      </w:r>
    </w:p>
    <w:p w:rsidR="00DD01CC" w:rsidRDefault="00056F3A" w:rsidP="00056F3A">
      <w:pPr>
        <w:tabs>
          <w:tab w:val="left" w:pos="1134"/>
          <w:tab w:val="left" w:pos="1254"/>
          <w:tab w:val="left" w:pos="1425"/>
          <w:tab w:val="left" w:pos="2127"/>
          <w:tab w:val="left" w:pos="10203"/>
          <w:tab w:val="left" w:pos="11624"/>
        </w:tabs>
        <w:ind w:firstLine="851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Проектная организация –</w:t>
      </w:r>
    </w:p>
    <w:p w:rsidR="00056F3A" w:rsidRPr="00A50B8E" w:rsidRDefault="00056F3A" w:rsidP="00056F3A">
      <w:pPr>
        <w:tabs>
          <w:tab w:val="left" w:pos="1134"/>
          <w:tab w:val="left" w:pos="1254"/>
          <w:tab w:val="left" w:pos="1425"/>
          <w:tab w:val="left" w:pos="2127"/>
          <w:tab w:val="left" w:pos="10203"/>
          <w:tab w:val="left" w:pos="11624"/>
        </w:tabs>
        <w:ind w:firstLine="851"/>
        <w:rPr>
          <w:rFonts w:ascii="ISOCPEUR" w:hAnsi="ISOCPEUR"/>
          <w:i/>
          <w:color w:val="000000"/>
          <w:sz w:val="32"/>
          <w:szCs w:val="32"/>
        </w:rPr>
      </w:pPr>
      <w:r w:rsidRPr="00A50B8E">
        <w:rPr>
          <w:rFonts w:ascii="ISOCPEUR" w:hAnsi="ISOCPEUR"/>
          <w:i/>
          <w:color w:val="000000"/>
          <w:sz w:val="32"/>
          <w:szCs w:val="32"/>
        </w:rPr>
        <w:t>Принятые в проекте инженерные решения не затрагивают несущей способности конструкций здания.</w:t>
      </w:r>
    </w:p>
    <w:p w:rsidR="00056F3A" w:rsidRPr="00A50B8E" w:rsidRDefault="00056F3A" w:rsidP="00056F3A">
      <w:pPr>
        <w:tabs>
          <w:tab w:val="left" w:pos="1134"/>
          <w:tab w:val="left" w:pos="1254"/>
          <w:tab w:val="left" w:pos="1425"/>
          <w:tab w:val="left" w:pos="2127"/>
          <w:tab w:val="left" w:pos="10203"/>
          <w:tab w:val="left" w:pos="11624"/>
        </w:tabs>
        <w:ind w:firstLine="851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На чертежах рабочей документации строительная часть показана условно.</w:t>
      </w:r>
    </w:p>
    <w:p w:rsidR="00056F3A" w:rsidRPr="00A50B8E" w:rsidRDefault="00056F3A" w:rsidP="00056F3A">
      <w:pPr>
        <w:tabs>
          <w:tab w:val="left" w:pos="1134"/>
          <w:tab w:val="left" w:pos="1254"/>
          <w:tab w:val="left" w:pos="1425"/>
          <w:tab w:val="left" w:pos="2127"/>
          <w:tab w:val="left" w:pos="10203"/>
          <w:tab w:val="left" w:pos="11624"/>
        </w:tabs>
        <w:ind w:firstLine="851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Строительный проект разработан в соответствии с заданием на проектирование, техническим заданием на проектирование, техническим регламентом «Здания и сооружения, строительные материалы и изделия. Безопасность», актами законодательства Республики Беларусь, межгосударственными и национальными ТНПА, с соблюдением технических условий.</w:t>
      </w:r>
    </w:p>
    <w:p w:rsidR="00056F3A" w:rsidRPr="00A50B8E" w:rsidRDefault="00056F3A" w:rsidP="00056F3A">
      <w:pPr>
        <w:tabs>
          <w:tab w:val="left" w:pos="1134"/>
          <w:tab w:val="left" w:pos="1254"/>
          <w:tab w:val="left" w:pos="1425"/>
          <w:tab w:val="left" w:pos="2127"/>
          <w:tab w:val="left" w:pos="10203"/>
          <w:tab w:val="left" w:pos="11624"/>
        </w:tabs>
        <w:ind w:firstLine="851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Технические решения, принятые в проектной документации, соответствуют требованиям действующих экологических, санитарно-гигиенических, противопожарных и других норм и правил и обеспечивают безопасную для жизни и здоровья людей эксплуатацию объекта при соблюдении предусмотренных проектной документацией мероприятий.</w:t>
      </w:r>
    </w:p>
    <w:p w:rsidR="00056F3A" w:rsidRPr="00A50B8E" w:rsidRDefault="00056F3A" w:rsidP="00056F3A">
      <w:pPr>
        <w:tabs>
          <w:tab w:val="left" w:pos="1134"/>
          <w:tab w:val="left" w:pos="11624"/>
        </w:tabs>
        <w:ind w:firstLine="851"/>
        <w:rPr>
          <w:rFonts w:ascii="ISOCPEUR" w:hAnsi="ISOCPEUR"/>
          <w:i/>
          <w:iCs/>
          <w:sz w:val="32"/>
          <w:szCs w:val="32"/>
        </w:rPr>
      </w:pPr>
      <w:r w:rsidRPr="00A50B8E">
        <w:rPr>
          <w:rFonts w:ascii="ISOCPEUR" w:hAnsi="ISOCPEUR"/>
          <w:i/>
          <w:iCs/>
          <w:sz w:val="32"/>
          <w:szCs w:val="32"/>
        </w:rPr>
        <w:t>Проектом на объекте предусматривается следующие системы:</w:t>
      </w:r>
    </w:p>
    <w:p w:rsidR="00056F3A" w:rsidRPr="00A50B8E" w:rsidRDefault="00DD01CC" w:rsidP="00056F3A">
      <w:pPr>
        <w:tabs>
          <w:tab w:val="left" w:pos="1134"/>
          <w:tab w:val="left" w:pos="1254"/>
          <w:tab w:val="left" w:pos="1425"/>
          <w:tab w:val="left" w:pos="2127"/>
          <w:tab w:val="left" w:pos="10203"/>
          <w:tab w:val="left" w:pos="11624"/>
        </w:tabs>
        <w:ind w:firstLine="851"/>
        <w:rPr>
          <w:rFonts w:ascii="ISOCPEUR" w:hAnsi="ISOCPEUR"/>
          <w:i/>
          <w:sz w:val="32"/>
          <w:szCs w:val="32"/>
        </w:rPr>
      </w:pPr>
      <w:r w:rsidRPr="00DD01CC">
        <w:rPr>
          <w:rFonts w:ascii="ISOCPEUR" w:hAnsi="ISOCPEUR"/>
          <w:i/>
          <w:sz w:val="32"/>
          <w:szCs w:val="32"/>
          <w:u w:val="single"/>
        </w:rPr>
        <w:t>Объект оборудуется системой контроля и управления доступом</w:t>
      </w:r>
      <w:r w:rsidR="00056F3A" w:rsidRPr="00A50B8E">
        <w:rPr>
          <w:rFonts w:ascii="ISOCPEUR" w:hAnsi="ISOCPEUR"/>
          <w:i/>
          <w:sz w:val="32"/>
          <w:szCs w:val="32"/>
        </w:rPr>
        <w:t xml:space="preserve"> (далее по тексту – </w:t>
      </w:r>
      <w:r>
        <w:rPr>
          <w:rFonts w:ascii="ISOCPEUR" w:hAnsi="ISOCPEUR"/>
          <w:i/>
          <w:sz w:val="32"/>
          <w:szCs w:val="32"/>
        </w:rPr>
        <w:t>СКУД</w:t>
      </w:r>
      <w:r w:rsidR="00056F3A" w:rsidRPr="00A50B8E">
        <w:rPr>
          <w:rFonts w:ascii="ISOCPEUR" w:hAnsi="ISOCPEUR"/>
          <w:i/>
          <w:sz w:val="32"/>
          <w:szCs w:val="32"/>
        </w:rPr>
        <w:t xml:space="preserve">) предназначена для </w:t>
      </w:r>
      <w:bookmarkStart w:id="1" w:name="_GoBack"/>
      <w:bookmarkEnd w:id="1"/>
      <w:r w:rsidRPr="00DD01CC">
        <w:rPr>
          <w:rFonts w:ascii="ISOCPEUR" w:hAnsi="ISOCPEUR"/>
          <w:i/>
          <w:sz w:val="32"/>
          <w:szCs w:val="32"/>
        </w:rPr>
        <w:t>разграничения доступа и защите от несанкционированного проникновения на объект</w:t>
      </w:r>
      <w:r w:rsidR="00056F3A" w:rsidRPr="00A50B8E">
        <w:rPr>
          <w:rFonts w:ascii="ISOCPEUR" w:hAnsi="ISOCPEUR"/>
          <w:i/>
          <w:sz w:val="32"/>
          <w:szCs w:val="32"/>
        </w:rPr>
        <w:t>.</w:t>
      </w:r>
    </w:p>
    <w:p w:rsidR="00056F3A" w:rsidRDefault="00056F3A" w:rsidP="00056F3A">
      <w:pPr>
        <w:ind w:firstLine="851"/>
        <w:rPr>
          <w:rFonts w:ascii="ISOCPEUR" w:hAnsi="ISOCPEUR"/>
          <w:i/>
          <w:sz w:val="32"/>
          <w:szCs w:val="32"/>
        </w:rPr>
      </w:pPr>
    </w:p>
    <w:p w:rsidR="00056F3A" w:rsidRDefault="00056F3A" w:rsidP="00056F3A">
      <w:pPr>
        <w:ind w:firstLine="851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При проектировании использовались следующие нормативные документы:</w:t>
      </w:r>
    </w:p>
    <w:p w:rsidR="00E628E0" w:rsidRPr="00A50B8E" w:rsidRDefault="00E628E0" w:rsidP="00056F3A">
      <w:pPr>
        <w:ind w:firstLine="851"/>
        <w:rPr>
          <w:rFonts w:ascii="ISOCPEUR" w:hAnsi="ISOCPEUR"/>
          <w:i/>
          <w:sz w:val="32"/>
          <w:szCs w:val="32"/>
        </w:rPr>
      </w:pPr>
      <w:r>
        <w:rPr>
          <w:rFonts w:ascii="ISOCPEUR" w:hAnsi="ISOCPEUR"/>
          <w:i/>
          <w:sz w:val="32"/>
          <w:szCs w:val="32"/>
        </w:rPr>
        <w:t xml:space="preserve">- </w:t>
      </w:r>
      <w:r w:rsidRPr="00E628E0">
        <w:rPr>
          <w:rFonts w:ascii="ISOCPEUR" w:hAnsi="ISOCPEUR"/>
          <w:i/>
          <w:sz w:val="32"/>
          <w:szCs w:val="32"/>
        </w:rPr>
        <w:t>РД 28/3.011-2001 "Технические средства и системы охраны. Системы контроля и управления доступом. Правила производства и приемки работ".</w:t>
      </w:r>
    </w:p>
    <w:p w:rsidR="00056F3A" w:rsidRPr="00A50B8E" w:rsidRDefault="00056F3A" w:rsidP="00056F3A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lastRenderedPageBreak/>
        <w:t>- РД 28/3.008</w:t>
      </w:r>
      <w:r w:rsidRPr="00A50B8E">
        <w:rPr>
          <w:rFonts w:ascii="ISOCPEUR" w:hAnsi="ISOCPEUR"/>
          <w:i/>
          <w:sz w:val="32"/>
          <w:szCs w:val="32"/>
        </w:rPr>
        <w:noBreakHyphen/>
        <w:t>2001 "</w:t>
      </w:r>
      <w:r w:rsidRPr="00A50B8E">
        <w:rPr>
          <w:rFonts w:ascii="ISOCPEUR" w:hAnsi="ISOCPEUR" w:cs="ISOCPEUR"/>
          <w:i/>
          <w:iCs/>
          <w:sz w:val="32"/>
          <w:szCs w:val="32"/>
        </w:rPr>
        <w:t>Технические средства и системы охраны. Порядок разработки технического задания на проектирование</w:t>
      </w:r>
      <w:r w:rsidRPr="00A50B8E">
        <w:rPr>
          <w:rFonts w:ascii="ISOCPEUR" w:hAnsi="ISOCPEUR"/>
          <w:i/>
          <w:sz w:val="32"/>
          <w:szCs w:val="32"/>
        </w:rPr>
        <w:t>";</w:t>
      </w:r>
    </w:p>
    <w:p w:rsidR="00056F3A" w:rsidRPr="00A50B8E" w:rsidRDefault="00056F3A" w:rsidP="00056F3A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- РД 28/3.009</w:t>
      </w:r>
      <w:r w:rsidRPr="00A50B8E">
        <w:rPr>
          <w:rFonts w:ascii="ISOCPEUR" w:hAnsi="ISOCPEUR"/>
          <w:i/>
          <w:sz w:val="32"/>
          <w:szCs w:val="32"/>
        </w:rPr>
        <w:noBreakHyphen/>
        <w:t>2001 "</w:t>
      </w:r>
      <w:r w:rsidRPr="00A50B8E">
        <w:rPr>
          <w:rFonts w:ascii="ISOCPEUR" w:hAnsi="ISOCPEUR" w:cs="ISOCPEUR"/>
          <w:i/>
          <w:iCs/>
          <w:sz w:val="32"/>
          <w:szCs w:val="32"/>
        </w:rPr>
        <w:t>Технические средства и системы охраны. Обозначения условные графические элементов связи</w:t>
      </w:r>
      <w:r w:rsidRPr="00A50B8E">
        <w:rPr>
          <w:rFonts w:ascii="ISOCPEUR" w:hAnsi="ISOCPEUR"/>
          <w:i/>
          <w:sz w:val="32"/>
          <w:szCs w:val="32"/>
        </w:rPr>
        <w:t>";</w:t>
      </w:r>
    </w:p>
    <w:p w:rsidR="00056F3A" w:rsidRPr="00A50B8E" w:rsidRDefault="00056F3A" w:rsidP="00056F3A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- ТКП 472-2013 (02010)”</w:t>
      </w:r>
      <w:r w:rsidRPr="00A50B8E">
        <w:rPr>
          <w:sz w:val="32"/>
          <w:szCs w:val="32"/>
        </w:rPr>
        <w:t xml:space="preserve"> </w:t>
      </w:r>
      <w:r w:rsidRPr="00A50B8E">
        <w:rPr>
          <w:rFonts w:ascii="ISOCPEUR" w:hAnsi="ISOCPEUR"/>
          <w:i/>
          <w:sz w:val="32"/>
          <w:szCs w:val="32"/>
        </w:rPr>
        <w:t>Правила технического обслуживания</w:t>
      </w:r>
      <w:r w:rsidRPr="00A50B8E">
        <w:rPr>
          <w:sz w:val="32"/>
          <w:szCs w:val="32"/>
        </w:rPr>
        <w:t xml:space="preserve"> </w:t>
      </w:r>
      <w:r w:rsidRPr="00A50B8E">
        <w:rPr>
          <w:rFonts w:ascii="ISOCPEUR" w:hAnsi="ISOCPEUR"/>
          <w:i/>
          <w:iCs/>
          <w:sz w:val="32"/>
          <w:szCs w:val="32"/>
        </w:rPr>
        <w:t>технических систем охраны</w:t>
      </w:r>
      <w:r w:rsidRPr="00A50B8E">
        <w:rPr>
          <w:rFonts w:ascii="ISOCPEUR" w:hAnsi="ISOCPEUR"/>
          <w:i/>
          <w:sz w:val="32"/>
          <w:szCs w:val="32"/>
        </w:rPr>
        <w:t>”;</w:t>
      </w:r>
    </w:p>
    <w:p w:rsidR="00056F3A" w:rsidRPr="00A50B8E" w:rsidRDefault="00056F3A" w:rsidP="00056F3A">
      <w:pPr>
        <w:tabs>
          <w:tab w:val="left" w:pos="1134"/>
          <w:tab w:val="left" w:pos="1254"/>
          <w:tab w:val="left" w:pos="1425"/>
          <w:tab w:val="left" w:pos="2127"/>
          <w:tab w:val="left" w:pos="11340"/>
        </w:tabs>
        <w:ind w:firstLine="851"/>
        <w:contextualSpacing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 xml:space="preserve">- </w:t>
      </w:r>
      <w:r w:rsidRPr="00A50B8E">
        <w:rPr>
          <w:rFonts w:ascii="ISOCPEUR" w:hAnsi="ISOCPEUR"/>
          <w:i/>
          <w:sz w:val="32"/>
          <w:szCs w:val="32"/>
        </w:rPr>
        <w:tab/>
        <w:t>ТКП 45-1.02-295-2014 "Проектная документация. Состав и содержание";</w:t>
      </w:r>
    </w:p>
    <w:p w:rsidR="00056F3A" w:rsidRPr="00A50B8E" w:rsidRDefault="00056F3A" w:rsidP="00056F3A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ISOCPEUR" w:hAnsi="ISOCPEUR" w:cs="ISOCPEUR"/>
          <w:i/>
          <w:iCs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- ТКП 45-4.04-149-2009 “Системы электрооборудования жилых и общественных зданий. Правила проектирования”;</w:t>
      </w:r>
    </w:p>
    <w:p w:rsidR="00056F3A" w:rsidRPr="00A50B8E" w:rsidRDefault="00056F3A" w:rsidP="00056F3A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- ТКП 45-1.03-85-2007 «Внутренние инженерные системы зданий и сооружений. Правила монтажа»;</w:t>
      </w:r>
    </w:p>
    <w:p w:rsidR="00056F3A" w:rsidRPr="00A50B8E" w:rsidRDefault="00056F3A" w:rsidP="00056F3A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ISOCPEUR" w:hAnsi="ISOCPEUR" w:cs="ISOCPEUR"/>
          <w:i/>
          <w:iCs/>
          <w:sz w:val="32"/>
          <w:szCs w:val="32"/>
        </w:rPr>
      </w:pPr>
      <w:r w:rsidRPr="00A50B8E">
        <w:rPr>
          <w:rFonts w:ascii="ISOCPEUR" w:hAnsi="ISOCPEUR" w:cs="ISOCPEUR"/>
          <w:i/>
          <w:iCs/>
          <w:sz w:val="32"/>
          <w:szCs w:val="32"/>
        </w:rPr>
        <w:t>- ПУЭ "Правила устройства электроустановок";</w:t>
      </w:r>
    </w:p>
    <w:p w:rsidR="00056F3A" w:rsidRPr="00A50B8E" w:rsidRDefault="00056F3A" w:rsidP="00056F3A">
      <w:pPr>
        <w:tabs>
          <w:tab w:val="left" w:pos="1134"/>
          <w:tab w:val="left" w:pos="1254"/>
          <w:tab w:val="left" w:pos="1425"/>
          <w:tab w:val="left" w:pos="2127"/>
          <w:tab w:val="left" w:pos="10203"/>
          <w:tab w:val="left" w:pos="11624"/>
        </w:tabs>
        <w:ind w:firstLine="851"/>
        <w:rPr>
          <w:rFonts w:ascii="ISOCPEUR" w:hAnsi="ISOCPEUR"/>
          <w:i/>
          <w:color w:val="000000"/>
          <w:sz w:val="32"/>
          <w:szCs w:val="32"/>
        </w:rPr>
      </w:pPr>
    </w:p>
    <w:p w:rsidR="00056F3A" w:rsidRPr="00A50B8E" w:rsidRDefault="00056F3A" w:rsidP="00056F3A">
      <w:pPr>
        <w:pStyle w:val="1"/>
        <w:tabs>
          <w:tab w:val="left" w:pos="1134"/>
          <w:tab w:val="left" w:pos="1254"/>
          <w:tab w:val="left" w:pos="1425"/>
        </w:tabs>
        <w:ind w:left="0" w:firstLine="0"/>
        <w:jc w:val="center"/>
        <w:rPr>
          <w:rFonts w:ascii="ISOCPEUR" w:hAnsi="ISOCPEUR"/>
          <w:bCs/>
          <w:i/>
          <w:iCs/>
          <w:color w:val="auto"/>
          <w:sz w:val="32"/>
          <w:szCs w:val="32"/>
        </w:rPr>
      </w:pPr>
      <w:bookmarkStart w:id="2" w:name="_Toc16692246"/>
      <w:r w:rsidRPr="00A50B8E">
        <w:rPr>
          <w:rFonts w:ascii="ISOCPEUR" w:hAnsi="ISOCPEUR"/>
          <w:bCs/>
          <w:i/>
          <w:iCs/>
          <w:color w:val="auto"/>
          <w:sz w:val="32"/>
          <w:szCs w:val="32"/>
        </w:rPr>
        <w:t>Описание и характеристика объекта</w:t>
      </w:r>
      <w:bookmarkEnd w:id="2"/>
    </w:p>
    <w:p w:rsidR="00056F3A" w:rsidRPr="00A50B8E" w:rsidRDefault="00056F3A" w:rsidP="00056F3A">
      <w:pPr>
        <w:tabs>
          <w:tab w:val="left" w:pos="567"/>
        </w:tabs>
        <w:ind w:firstLine="851"/>
        <w:jc w:val="both"/>
        <w:rPr>
          <w:rFonts w:ascii="ISOCPEUR" w:hAnsi="ISOCPEUR"/>
          <w:i/>
          <w:spacing w:val="-4"/>
          <w:sz w:val="32"/>
          <w:szCs w:val="32"/>
        </w:rPr>
      </w:pPr>
    </w:p>
    <w:p w:rsidR="00056F3A" w:rsidRDefault="00056F3A" w:rsidP="00056F3A">
      <w:pPr>
        <w:tabs>
          <w:tab w:val="left" w:pos="567"/>
        </w:tabs>
        <w:ind w:firstLine="851"/>
        <w:jc w:val="both"/>
        <w:rPr>
          <w:rFonts w:ascii="ISOCPEUR" w:hAnsi="ISOCPEUR"/>
          <w:i/>
          <w:spacing w:val="-4"/>
          <w:sz w:val="32"/>
          <w:szCs w:val="32"/>
        </w:rPr>
      </w:pPr>
      <w:r w:rsidRPr="00A50B8E">
        <w:rPr>
          <w:rFonts w:ascii="ISOCPEUR" w:hAnsi="ISOCPEUR"/>
          <w:i/>
          <w:spacing w:val="-4"/>
          <w:sz w:val="32"/>
          <w:szCs w:val="32"/>
        </w:rPr>
        <w:t xml:space="preserve">Проектируемый объект представляет собой </w:t>
      </w:r>
      <w:r>
        <w:rPr>
          <w:rFonts w:ascii="ISOCPEUR" w:hAnsi="ISOCPEUR"/>
          <w:i/>
          <w:spacing w:val="-4"/>
          <w:sz w:val="32"/>
          <w:szCs w:val="32"/>
        </w:rPr>
        <w:t>офисные помещения</w:t>
      </w:r>
      <w:r w:rsidRPr="00A50B8E">
        <w:rPr>
          <w:rFonts w:ascii="ISOCPEUR" w:hAnsi="ISOCPEUR"/>
          <w:i/>
          <w:spacing w:val="-4"/>
          <w:sz w:val="32"/>
          <w:szCs w:val="32"/>
        </w:rPr>
        <w:t>.</w:t>
      </w:r>
      <w:r>
        <w:rPr>
          <w:rFonts w:ascii="ISOCPEUR" w:hAnsi="ISOCPEUR"/>
          <w:i/>
          <w:spacing w:val="-4"/>
          <w:sz w:val="32"/>
          <w:szCs w:val="32"/>
        </w:rPr>
        <w:t xml:space="preserve"> На объекте имеется коммутационное помещение с телекоммуникационным шкафом.</w:t>
      </w:r>
    </w:p>
    <w:p w:rsidR="00056F3A" w:rsidRPr="00A50B8E" w:rsidRDefault="00056F3A" w:rsidP="00056F3A">
      <w:pPr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 xml:space="preserve">Режим работы оборудования – </w:t>
      </w:r>
      <w:r>
        <w:rPr>
          <w:rFonts w:ascii="ISOCPEUR" w:hAnsi="ISOCPEUR"/>
          <w:i/>
          <w:sz w:val="32"/>
          <w:szCs w:val="32"/>
        </w:rPr>
        <w:t>круглосуточный</w:t>
      </w:r>
    </w:p>
    <w:p w:rsidR="00056F3A" w:rsidRPr="00A50B8E" w:rsidRDefault="00056F3A" w:rsidP="00056F3A">
      <w:pPr>
        <w:tabs>
          <w:tab w:val="left" w:pos="567"/>
        </w:tabs>
        <w:ind w:firstLine="851"/>
        <w:jc w:val="both"/>
        <w:rPr>
          <w:rFonts w:ascii="ISOCPEUR" w:hAnsi="ISOCPEUR"/>
          <w:i/>
          <w:spacing w:val="-4"/>
          <w:sz w:val="32"/>
          <w:szCs w:val="32"/>
        </w:rPr>
      </w:pPr>
    </w:p>
    <w:p w:rsidR="00056F3A" w:rsidRPr="00A50B8E" w:rsidRDefault="00056F3A" w:rsidP="00056F3A">
      <w:pPr>
        <w:pStyle w:val="1"/>
        <w:tabs>
          <w:tab w:val="left" w:pos="1134"/>
          <w:tab w:val="left" w:pos="1254"/>
          <w:tab w:val="left" w:pos="1425"/>
        </w:tabs>
        <w:ind w:left="0" w:firstLine="0"/>
        <w:jc w:val="center"/>
        <w:rPr>
          <w:rFonts w:ascii="ISOCPEUR" w:hAnsi="ISOCPEUR"/>
          <w:i/>
          <w:color w:val="auto"/>
          <w:sz w:val="32"/>
          <w:szCs w:val="32"/>
        </w:rPr>
      </w:pPr>
      <w:bookmarkStart w:id="3" w:name="_Toc16692247"/>
      <w:r w:rsidRPr="00A50B8E">
        <w:rPr>
          <w:rFonts w:ascii="ISOCPEUR" w:hAnsi="ISOCPEUR"/>
          <w:i/>
          <w:color w:val="auto"/>
          <w:sz w:val="32"/>
          <w:szCs w:val="32"/>
        </w:rPr>
        <w:t>Основные технические решения</w:t>
      </w:r>
      <w:bookmarkEnd w:id="3"/>
    </w:p>
    <w:p w:rsidR="00056F3A" w:rsidRPr="00A50B8E" w:rsidRDefault="00056F3A" w:rsidP="00056F3A">
      <w:pPr>
        <w:tabs>
          <w:tab w:val="left" w:pos="1134"/>
          <w:tab w:val="left" w:pos="1254"/>
          <w:tab w:val="left" w:pos="1425"/>
        </w:tabs>
        <w:ind w:firstLine="851"/>
        <w:jc w:val="both"/>
        <w:rPr>
          <w:rFonts w:ascii="ISOCPEUR" w:hAnsi="ISOCPEUR"/>
          <w:i/>
          <w:sz w:val="32"/>
          <w:szCs w:val="32"/>
        </w:rPr>
      </w:pPr>
    </w:p>
    <w:p w:rsidR="00672059" w:rsidRDefault="00056F3A" w:rsidP="00056F3A">
      <w:pPr>
        <w:tabs>
          <w:tab w:val="left" w:pos="1134"/>
          <w:tab w:val="left" w:pos="1254"/>
          <w:tab w:val="left" w:pos="1425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 xml:space="preserve">Объект оборудуется комплексом инженерно-технических средств, включающих в себя </w:t>
      </w:r>
      <w:r w:rsidR="00DD01CC">
        <w:rPr>
          <w:rFonts w:ascii="ISOCPEUR" w:hAnsi="ISOCPEUR"/>
          <w:i/>
          <w:sz w:val="32"/>
          <w:szCs w:val="32"/>
        </w:rPr>
        <w:t>СКУД</w:t>
      </w:r>
      <w:r w:rsidRPr="00A50B8E">
        <w:rPr>
          <w:rFonts w:ascii="ISOCPEUR" w:hAnsi="ISOCPEUR"/>
          <w:i/>
          <w:sz w:val="32"/>
          <w:szCs w:val="32"/>
        </w:rPr>
        <w:t xml:space="preserve"> </w:t>
      </w:r>
      <w:r w:rsidR="00B6065F">
        <w:rPr>
          <w:rFonts w:ascii="ISOCPEUR" w:hAnsi="ISOCPEUR"/>
          <w:i/>
          <w:sz w:val="32"/>
          <w:szCs w:val="32"/>
        </w:rPr>
        <w:t xml:space="preserve">в </w:t>
      </w:r>
      <w:r w:rsidRPr="00A50B8E">
        <w:rPr>
          <w:rFonts w:ascii="ISOCPEUR" w:hAnsi="ISOCPEUR"/>
          <w:i/>
          <w:sz w:val="32"/>
          <w:szCs w:val="32"/>
        </w:rPr>
        <w:t>соответствии с заданием на проектирование</w:t>
      </w:r>
      <w:r w:rsidR="00672059">
        <w:rPr>
          <w:rFonts w:ascii="ISOCPEUR" w:hAnsi="ISOCPEUR"/>
          <w:i/>
          <w:sz w:val="32"/>
          <w:szCs w:val="32"/>
        </w:rPr>
        <w:t>.</w:t>
      </w:r>
    </w:p>
    <w:p w:rsidR="00E628E0" w:rsidRDefault="00DD01CC" w:rsidP="00DD01CC">
      <w:pPr>
        <w:tabs>
          <w:tab w:val="left" w:pos="1254"/>
          <w:tab w:val="left" w:pos="1425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DD01CC">
        <w:rPr>
          <w:rFonts w:ascii="ISOCPEUR" w:hAnsi="ISOCPEUR"/>
          <w:i/>
          <w:sz w:val="32"/>
          <w:szCs w:val="32"/>
        </w:rPr>
        <w:t>СКУД представляет собой оборудование дверей электромеханическими защёлками</w:t>
      </w:r>
      <w:r w:rsidR="00E628E0">
        <w:rPr>
          <w:rFonts w:ascii="ISOCPEUR" w:hAnsi="ISOCPEUR"/>
          <w:i/>
          <w:sz w:val="32"/>
          <w:szCs w:val="32"/>
        </w:rPr>
        <w:t xml:space="preserve"> и строится на базе </w:t>
      </w:r>
      <w:r w:rsidR="00E628E0">
        <w:rPr>
          <w:rFonts w:ascii="ISOCPEUR" w:hAnsi="ISOCPEUR"/>
          <w:i/>
          <w:sz w:val="32"/>
          <w:szCs w:val="32"/>
          <w:lang w:val="en-US"/>
        </w:rPr>
        <w:t>IP</w:t>
      </w:r>
      <w:r w:rsidR="00E628E0" w:rsidRPr="00E628E0">
        <w:rPr>
          <w:rFonts w:ascii="ISOCPEUR" w:hAnsi="ISOCPEUR"/>
          <w:i/>
          <w:sz w:val="32"/>
          <w:szCs w:val="32"/>
        </w:rPr>
        <w:t>-</w:t>
      </w:r>
      <w:r w:rsidR="00E628E0">
        <w:rPr>
          <w:rFonts w:ascii="ISOCPEUR" w:hAnsi="ISOCPEUR"/>
          <w:i/>
          <w:sz w:val="32"/>
          <w:szCs w:val="32"/>
        </w:rPr>
        <w:t xml:space="preserve">домофонов </w:t>
      </w:r>
      <w:r w:rsidR="00E628E0" w:rsidRPr="00E628E0">
        <w:rPr>
          <w:rFonts w:ascii="ISOCPEUR" w:hAnsi="ISOCPEUR"/>
          <w:i/>
          <w:sz w:val="32"/>
          <w:szCs w:val="32"/>
        </w:rPr>
        <w:t>TI-2308</w:t>
      </w:r>
      <w:r w:rsidR="00E628E0">
        <w:rPr>
          <w:rFonts w:ascii="ISOCPEUR" w:hAnsi="ISOCPEUR"/>
          <w:i/>
          <w:sz w:val="32"/>
          <w:szCs w:val="32"/>
        </w:rPr>
        <w:t>. В составе домофона имеется считыватель карт и биометрический считыватель.</w:t>
      </w:r>
    </w:p>
    <w:p w:rsidR="00E628E0" w:rsidRPr="00E628E0" w:rsidRDefault="00E628E0" w:rsidP="00DD01CC">
      <w:pPr>
        <w:tabs>
          <w:tab w:val="left" w:pos="1254"/>
          <w:tab w:val="left" w:pos="1425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>
        <w:rPr>
          <w:rFonts w:ascii="ISOCPEUR" w:hAnsi="ISOCPEUR"/>
          <w:i/>
          <w:sz w:val="32"/>
          <w:szCs w:val="32"/>
        </w:rPr>
        <w:t xml:space="preserve">Для учета рабочего времени используется программный </w:t>
      </w:r>
      <w:proofErr w:type="gramStart"/>
      <w:r>
        <w:rPr>
          <w:rFonts w:ascii="ISOCPEUR" w:hAnsi="ISOCPEUR"/>
          <w:i/>
          <w:sz w:val="32"/>
          <w:szCs w:val="32"/>
        </w:rPr>
        <w:t xml:space="preserve">модуль </w:t>
      </w:r>
      <w:r w:rsidRPr="00E628E0">
        <w:rPr>
          <w:rFonts w:ascii="ISOCPEUR" w:hAnsi="ISOCPEUR"/>
          <w:i/>
          <w:sz w:val="32"/>
          <w:szCs w:val="32"/>
        </w:rPr>
        <w:t xml:space="preserve"> </w:t>
      </w:r>
      <w:proofErr w:type="spellStart"/>
      <w:r w:rsidRPr="00E628E0">
        <w:rPr>
          <w:rFonts w:ascii="ISOCPEUR" w:hAnsi="ISOCPEUR"/>
          <w:i/>
          <w:sz w:val="32"/>
          <w:szCs w:val="32"/>
        </w:rPr>
        <w:t>Timex</w:t>
      </w:r>
      <w:proofErr w:type="spellEnd"/>
      <w:proofErr w:type="gramEnd"/>
      <w:r w:rsidRPr="00E628E0">
        <w:rPr>
          <w:rFonts w:ascii="ISOCPEUR" w:hAnsi="ISOCPEUR"/>
          <w:i/>
          <w:sz w:val="32"/>
          <w:szCs w:val="32"/>
        </w:rPr>
        <w:t xml:space="preserve"> AC. Модуль предназначен для организации подсистемы контроля доступа в рамках общей системы «</w:t>
      </w:r>
      <w:proofErr w:type="spellStart"/>
      <w:r w:rsidRPr="00E628E0">
        <w:rPr>
          <w:rFonts w:ascii="ISOCPEUR" w:hAnsi="ISOCPEUR"/>
          <w:i/>
          <w:sz w:val="32"/>
          <w:szCs w:val="32"/>
        </w:rPr>
        <w:t>Таймекс</w:t>
      </w:r>
      <w:proofErr w:type="spellEnd"/>
      <w:r w:rsidRPr="00E628E0">
        <w:rPr>
          <w:rFonts w:ascii="ISOCPEUR" w:hAnsi="ISOCPEUR"/>
          <w:i/>
          <w:sz w:val="32"/>
          <w:szCs w:val="32"/>
        </w:rPr>
        <w:t xml:space="preserve">» и используется для управления исполнительными устройствами (замками, турникетами, </w:t>
      </w:r>
      <w:r w:rsidRPr="00E628E0">
        <w:rPr>
          <w:rFonts w:ascii="ISOCPEUR" w:hAnsi="ISOCPEUR"/>
          <w:i/>
          <w:sz w:val="32"/>
          <w:szCs w:val="32"/>
        </w:rPr>
        <w:lastRenderedPageBreak/>
        <w:t>шлагбаумами, воротами, лифтами, и т. д.) в соответствии с заданными уровнями доступа и временными зонами. Все события системы контроля доступа протоколируются в «</w:t>
      </w:r>
      <w:proofErr w:type="spellStart"/>
      <w:r w:rsidRPr="00E628E0">
        <w:rPr>
          <w:rFonts w:ascii="ISOCPEUR" w:hAnsi="ISOCPEUR"/>
          <w:i/>
          <w:sz w:val="32"/>
          <w:szCs w:val="32"/>
        </w:rPr>
        <w:t>Таймекс</w:t>
      </w:r>
      <w:proofErr w:type="spellEnd"/>
      <w:r w:rsidRPr="00E628E0">
        <w:rPr>
          <w:rFonts w:ascii="ISOCPEUR" w:hAnsi="ISOCPEUR"/>
          <w:i/>
          <w:sz w:val="32"/>
          <w:szCs w:val="32"/>
        </w:rPr>
        <w:t>», а оператор имеет возможность отфильтровывать их по времени и дате, по типу, по оборудованию, по сотруднику или по оператору. Для каждого пользователя системы контроля доступа это ПО позволяет назначить несколько уровней доступа с логическим сложением условий допуска и выбирать определенные способы идентификации</w:t>
      </w:r>
    </w:p>
    <w:p w:rsidR="00DD01CC" w:rsidRPr="00DD01CC" w:rsidRDefault="00DD01CC" w:rsidP="00DD01CC">
      <w:pPr>
        <w:tabs>
          <w:tab w:val="left" w:pos="1254"/>
          <w:tab w:val="left" w:pos="1425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DD01CC">
        <w:rPr>
          <w:rFonts w:ascii="ISOCPEUR" w:hAnsi="ISOCPEUR"/>
          <w:i/>
          <w:sz w:val="32"/>
          <w:szCs w:val="32"/>
        </w:rPr>
        <w:t>Доступ через защищаемые проходы организуется путём прикладывания бесконтактной индивидуальной идентификационной карты доступа к бесконтактному считывающему устройству</w:t>
      </w:r>
      <w:r w:rsidR="00E628E0">
        <w:rPr>
          <w:rFonts w:ascii="ISOCPEUR" w:hAnsi="ISOCPEUR"/>
          <w:i/>
          <w:sz w:val="32"/>
          <w:szCs w:val="32"/>
        </w:rPr>
        <w:t xml:space="preserve"> или прикладывание отпечатка пальца к биометрическому считывателю</w:t>
      </w:r>
      <w:r w:rsidRPr="00DD01CC">
        <w:rPr>
          <w:rFonts w:ascii="ISOCPEUR" w:hAnsi="ISOCPEUR"/>
          <w:i/>
          <w:sz w:val="32"/>
          <w:szCs w:val="32"/>
        </w:rPr>
        <w:t xml:space="preserve">. </w:t>
      </w:r>
    </w:p>
    <w:p w:rsidR="00DD01CC" w:rsidRPr="00DD01CC" w:rsidRDefault="00DD01CC" w:rsidP="00DD01CC">
      <w:pPr>
        <w:tabs>
          <w:tab w:val="left" w:pos="1254"/>
          <w:tab w:val="left" w:pos="1425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DD01CC">
        <w:rPr>
          <w:rFonts w:ascii="ISOCPEUR" w:hAnsi="ISOCPEUR"/>
          <w:i/>
          <w:sz w:val="32"/>
          <w:szCs w:val="32"/>
        </w:rPr>
        <w:t>Выбор оборудования был сделан на основе анализа, представленного на рынке РБ оборудования СКУД. При выборе оборудования учитывались ниже следующие требования:</w:t>
      </w:r>
    </w:p>
    <w:p w:rsidR="00DD01CC" w:rsidRPr="00DD01CC" w:rsidRDefault="00DD01CC" w:rsidP="00DD01CC">
      <w:pPr>
        <w:tabs>
          <w:tab w:val="left" w:pos="1254"/>
          <w:tab w:val="left" w:pos="1425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DD01CC">
        <w:rPr>
          <w:rFonts w:ascii="ISOCPEUR" w:hAnsi="ISOCPEUR"/>
          <w:i/>
          <w:sz w:val="32"/>
          <w:szCs w:val="32"/>
        </w:rPr>
        <w:t>- пожелания Заказчика, отражённые в техническом задании на проектирование;</w:t>
      </w:r>
    </w:p>
    <w:p w:rsidR="00DD01CC" w:rsidRPr="00DD01CC" w:rsidRDefault="00DD01CC" w:rsidP="00DD01CC">
      <w:pPr>
        <w:tabs>
          <w:tab w:val="left" w:pos="1254"/>
          <w:tab w:val="left" w:pos="1425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DD01CC">
        <w:rPr>
          <w:rFonts w:ascii="ISOCPEUR" w:hAnsi="ISOCPEUR"/>
          <w:i/>
          <w:sz w:val="32"/>
          <w:szCs w:val="32"/>
        </w:rPr>
        <w:t>- стоимость оборудования;</w:t>
      </w:r>
    </w:p>
    <w:p w:rsidR="00DD01CC" w:rsidRPr="00DD01CC" w:rsidRDefault="00DD01CC" w:rsidP="00DD01CC">
      <w:pPr>
        <w:tabs>
          <w:tab w:val="left" w:pos="1254"/>
          <w:tab w:val="left" w:pos="1425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DD01CC">
        <w:rPr>
          <w:rFonts w:ascii="ISOCPEUR" w:hAnsi="ISOCPEUR"/>
          <w:i/>
          <w:sz w:val="32"/>
          <w:szCs w:val="32"/>
        </w:rPr>
        <w:t>- технические характеристики (возможности) оборудования;</w:t>
      </w:r>
    </w:p>
    <w:p w:rsidR="00DD01CC" w:rsidRPr="00DD01CC" w:rsidRDefault="00DD01CC" w:rsidP="00DD01CC">
      <w:pPr>
        <w:tabs>
          <w:tab w:val="left" w:pos="1254"/>
          <w:tab w:val="left" w:pos="1425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DD01CC">
        <w:rPr>
          <w:rFonts w:ascii="ISOCPEUR" w:hAnsi="ISOCPEUR"/>
          <w:i/>
          <w:sz w:val="32"/>
          <w:szCs w:val="32"/>
        </w:rPr>
        <w:t>- особенности оборудуемого объекта.</w:t>
      </w:r>
    </w:p>
    <w:p w:rsidR="00DD01CC" w:rsidRPr="00DD01CC" w:rsidRDefault="00DD01CC" w:rsidP="00DD01CC">
      <w:pPr>
        <w:tabs>
          <w:tab w:val="left" w:pos="1254"/>
          <w:tab w:val="left" w:pos="1425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DD01CC">
        <w:rPr>
          <w:rFonts w:ascii="ISOCPEUR" w:hAnsi="ISOCPEUR"/>
          <w:i/>
          <w:sz w:val="32"/>
          <w:szCs w:val="32"/>
        </w:rPr>
        <w:t xml:space="preserve">В части выбора и способов установки технических средств СКУД проектируемая система удовлетворяет требованиям РД 28/3.011-2001 "Технические средства и системы охраны. Системы контроля и управления доступом. Правила производства и приемки работ". </w:t>
      </w:r>
    </w:p>
    <w:p w:rsidR="00DD01CC" w:rsidRPr="00DD01CC" w:rsidRDefault="00DD01CC" w:rsidP="00DD01CC">
      <w:pPr>
        <w:tabs>
          <w:tab w:val="left" w:pos="1254"/>
          <w:tab w:val="left" w:pos="1425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DD01CC">
        <w:rPr>
          <w:rFonts w:ascii="ISOCPEUR" w:hAnsi="ISOCPEUR"/>
          <w:i/>
          <w:sz w:val="32"/>
          <w:szCs w:val="32"/>
        </w:rPr>
        <w:t xml:space="preserve">Лицам, обладающим правом доступа, выдаётся бесконтактная карта, являющаяся индивидуальным идентификатором доступа. Данная карта позволяет управлять запирающими устройствами доступа для прохода через точки доступа. </w:t>
      </w:r>
    </w:p>
    <w:p w:rsidR="00DD01CC" w:rsidRPr="00DD01CC" w:rsidRDefault="00DD01CC" w:rsidP="00DD01CC">
      <w:pPr>
        <w:tabs>
          <w:tab w:val="left" w:pos="1254"/>
          <w:tab w:val="left" w:pos="1425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DD01CC">
        <w:rPr>
          <w:rFonts w:ascii="ISOCPEUR" w:hAnsi="ISOCPEUR"/>
          <w:i/>
          <w:sz w:val="32"/>
          <w:szCs w:val="32"/>
        </w:rPr>
        <w:t xml:space="preserve">В нормальном режиме преграждающие устройства блокируют прохождение через точки доступа в обоих направлениях. Для прохода необходимо прикладывать карту к считывателям устройств идентификации для </w:t>
      </w:r>
      <w:r w:rsidRPr="00DD01CC">
        <w:rPr>
          <w:rFonts w:ascii="ISOCPEUR" w:hAnsi="ISOCPEUR"/>
          <w:i/>
          <w:sz w:val="32"/>
          <w:szCs w:val="32"/>
        </w:rPr>
        <w:lastRenderedPageBreak/>
        <w:t>разблокировки запирающих устройств и осуществления прохода.</w:t>
      </w:r>
    </w:p>
    <w:p w:rsidR="00056F3A" w:rsidRPr="00A50B8E" w:rsidRDefault="00DD01CC" w:rsidP="00DD01CC">
      <w:pPr>
        <w:tabs>
          <w:tab w:val="left" w:pos="1254"/>
          <w:tab w:val="left" w:pos="1425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DD01CC">
        <w:rPr>
          <w:rFonts w:ascii="ISOCPEUR" w:hAnsi="ISOCPEUR"/>
          <w:i/>
          <w:sz w:val="32"/>
          <w:szCs w:val="32"/>
        </w:rPr>
        <w:t>Информация со считывателя поступает на контроллер</w:t>
      </w:r>
      <w:r w:rsidR="00F369E5">
        <w:rPr>
          <w:rFonts w:ascii="ISOCPEUR" w:hAnsi="ISOCPEUR"/>
          <w:i/>
          <w:sz w:val="32"/>
          <w:szCs w:val="32"/>
        </w:rPr>
        <w:t xml:space="preserve"> (</w:t>
      </w:r>
      <w:proofErr w:type="spellStart"/>
      <w:r w:rsidR="00F369E5">
        <w:rPr>
          <w:rFonts w:ascii="ISOCPEUR" w:hAnsi="ISOCPEUR"/>
          <w:i/>
          <w:sz w:val="32"/>
          <w:szCs w:val="32"/>
          <w:lang w:val="en-US"/>
        </w:rPr>
        <w:t>ip</w:t>
      </w:r>
      <w:proofErr w:type="spellEnd"/>
      <w:r w:rsidR="00F369E5" w:rsidRPr="00F369E5">
        <w:rPr>
          <w:rFonts w:ascii="ISOCPEUR" w:hAnsi="ISOCPEUR"/>
          <w:i/>
          <w:sz w:val="32"/>
          <w:szCs w:val="32"/>
        </w:rPr>
        <w:t>-</w:t>
      </w:r>
      <w:r w:rsidR="00F369E5">
        <w:rPr>
          <w:rFonts w:ascii="ISOCPEUR" w:hAnsi="ISOCPEUR"/>
          <w:i/>
          <w:sz w:val="32"/>
          <w:szCs w:val="32"/>
        </w:rPr>
        <w:t>домофон)</w:t>
      </w:r>
      <w:r w:rsidRPr="00DD01CC">
        <w:rPr>
          <w:rFonts w:ascii="ISOCPEUR" w:hAnsi="ISOCPEUR"/>
          <w:i/>
          <w:sz w:val="32"/>
          <w:szCs w:val="32"/>
        </w:rPr>
        <w:t xml:space="preserve"> системы доступа. Контроллер анализирует предъявленный идентификатор: ищет его в базе хранящихся ключей, сопоставляет с уровнем доступа, присвоенным носителю данного идентификатора, и выдаёт решение об успешной либо неуспешной идентификации. Информация о времени прохода и карте, по которой совершён проход, хранится в базе данных системы. </w:t>
      </w:r>
      <w:r w:rsidR="00056F3A" w:rsidRPr="00A50B8E">
        <w:rPr>
          <w:rFonts w:ascii="ISOCPEUR" w:hAnsi="ISOCPEUR"/>
          <w:i/>
          <w:sz w:val="32"/>
          <w:szCs w:val="32"/>
        </w:rPr>
        <w:t xml:space="preserve"> </w:t>
      </w:r>
    </w:p>
    <w:p w:rsidR="00056F3A" w:rsidRPr="00A50B8E" w:rsidRDefault="00056F3A" w:rsidP="00056F3A">
      <w:pPr>
        <w:ind w:firstLine="851"/>
        <w:jc w:val="both"/>
        <w:rPr>
          <w:rFonts w:ascii="ISOCPEUR" w:hAnsi="ISOCPEUR"/>
          <w:i/>
          <w:sz w:val="32"/>
          <w:szCs w:val="32"/>
        </w:rPr>
      </w:pPr>
    </w:p>
    <w:p w:rsidR="00056F3A" w:rsidRPr="00A50B8E" w:rsidRDefault="00056F3A" w:rsidP="00056F3A">
      <w:pPr>
        <w:pStyle w:val="1"/>
        <w:tabs>
          <w:tab w:val="left" w:pos="1134"/>
          <w:tab w:val="left" w:pos="1197"/>
          <w:tab w:val="left" w:pos="2127"/>
        </w:tabs>
        <w:ind w:left="0" w:firstLine="851"/>
        <w:jc w:val="center"/>
        <w:rPr>
          <w:rFonts w:ascii="ISOCPEUR" w:hAnsi="ISOCPEUR"/>
          <w:i/>
          <w:iCs/>
          <w:color w:val="auto"/>
          <w:sz w:val="32"/>
          <w:szCs w:val="32"/>
        </w:rPr>
      </w:pPr>
      <w:bookmarkStart w:id="4" w:name="_Toc16692248"/>
      <w:r w:rsidRPr="00A50B8E">
        <w:rPr>
          <w:rFonts w:ascii="ISOCPEUR" w:hAnsi="ISOCPEUR"/>
          <w:i/>
          <w:iCs/>
          <w:color w:val="auto"/>
          <w:sz w:val="32"/>
          <w:szCs w:val="32"/>
        </w:rPr>
        <w:t>Монтаж оборудования и электропроводов</w:t>
      </w:r>
      <w:bookmarkEnd w:id="4"/>
    </w:p>
    <w:p w:rsidR="00056F3A" w:rsidRPr="00A50B8E" w:rsidRDefault="00056F3A" w:rsidP="00056F3A">
      <w:pPr>
        <w:ind w:firstLine="851"/>
        <w:jc w:val="both"/>
        <w:rPr>
          <w:rFonts w:ascii="ISOCPEUR" w:hAnsi="ISOCPEUR"/>
          <w:i/>
          <w:sz w:val="32"/>
          <w:szCs w:val="32"/>
          <w:u w:val="single"/>
        </w:rPr>
      </w:pPr>
    </w:p>
    <w:p w:rsidR="00056F3A" w:rsidRPr="00A50B8E" w:rsidRDefault="00056F3A" w:rsidP="00056F3A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  <w:u w:val="single"/>
        </w:rPr>
        <w:t xml:space="preserve">Технические средства </w:t>
      </w:r>
      <w:r w:rsidR="00DD01CC">
        <w:rPr>
          <w:rFonts w:ascii="ISOCPEUR" w:hAnsi="ISOCPEUR"/>
          <w:i/>
          <w:sz w:val="32"/>
          <w:szCs w:val="32"/>
          <w:u w:val="single"/>
        </w:rPr>
        <w:t xml:space="preserve">СКУД </w:t>
      </w:r>
      <w:r w:rsidRPr="00A50B8E">
        <w:rPr>
          <w:rFonts w:ascii="ISOCPEUR" w:hAnsi="ISOCPEUR"/>
          <w:i/>
          <w:sz w:val="32"/>
          <w:szCs w:val="32"/>
        </w:rPr>
        <w:t xml:space="preserve">устанавливаются согласно схемам разводки сети. </w:t>
      </w:r>
    </w:p>
    <w:p w:rsidR="00056F3A" w:rsidRPr="00A50B8E" w:rsidRDefault="00056F3A" w:rsidP="00056F3A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 xml:space="preserve">Разводка кабелей выполняется в соответствии с планом сети. Кабельные трассы проложить по стенам за подвесным потолком, спуски кабельных трасс проложить в коробах ПВХ по стенам. Проходы кабельных трасс сквозь стены выполнить в отрезках жестких труб ПВХ. Зазоры между проводами, кабелями и трубой ПВХ заделать с обеих сторон легко удаляемой массой из несгораемого материала. </w:t>
      </w:r>
    </w:p>
    <w:p w:rsidR="00056F3A" w:rsidRPr="00A50B8E" w:rsidRDefault="00056F3A" w:rsidP="00056F3A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 xml:space="preserve">При параллельной прокладке расстояние от кабелей </w:t>
      </w:r>
      <w:r w:rsidR="00040085">
        <w:rPr>
          <w:rFonts w:ascii="ISOCPEUR" w:hAnsi="ISOCPEUR"/>
          <w:i/>
          <w:sz w:val="32"/>
          <w:szCs w:val="32"/>
        </w:rPr>
        <w:t>СКУД</w:t>
      </w:r>
      <w:r w:rsidRPr="00A50B8E">
        <w:rPr>
          <w:rFonts w:ascii="ISOCPEUR" w:hAnsi="ISOCPEUR"/>
          <w:i/>
          <w:sz w:val="32"/>
          <w:szCs w:val="32"/>
        </w:rPr>
        <w:t xml:space="preserve"> до силовых и осветительных кабелей должно быть не менее 0,5м.  </w:t>
      </w:r>
    </w:p>
    <w:p w:rsidR="00056F3A" w:rsidRPr="00A50B8E" w:rsidRDefault="00056F3A" w:rsidP="00056F3A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Места расположения оборудования и кабельных линий могут корректироваться по месту при сохранении зон защиты. Устанавливаемое оборудование и кабельные линии маркируются в соответствии с обозначениями, принятыми в данном проекте.</w:t>
      </w:r>
    </w:p>
    <w:p w:rsidR="00056F3A" w:rsidRPr="00A50B8E" w:rsidRDefault="00056F3A" w:rsidP="00056F3A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Строительно-монтажные работы следует выполнять с использованием средств малой механизации, механизированного и электрифицированного инструмента и приспособлений, сокращающих применение ручного труда. Строительно-монтажные работы необходимо выполнять согласно требованиям ПУЭ, ГОСТ 12.1.030, СНиП 3.05.06-85, технической документацией завода-изготовителя оборудования.</w:t>
      </w:r>
    </w:p>
    <w:p w:rsidR="00056F3A" w:rsidRPr="00A50B8E" w:rsidRDefault="00056F3A" w:rsidP="00056F3A">
      <w:pPr>
        <w:tabs>
          <w:tab w:val="left" w:pos="1134"/>
          <w:tab w:val="num" w:pos="1980"/>
          <w:tab w:val="left" w:pos="2127"/>
        </w:tabs>
        <w:autoSpaceDE w:val="0"/>
        <w:autoSpaceDN w:val="0"/>
        <w:adjustRightInd w:val="0"/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lastRenderedPageBreak/>
        <w:t>Пуско-наладочные работы должны выполняться монтажно-наладочной организацией с соответствующей лицензией (разрешением) в соответствии с требованиями СНиП 3.05.06, технической документацией завода изготовителя оборудования.</w:t>
      </w:r>
    </w:p>
    <w:p w:rsidR="00056F3A" w:rsidRPr="00A50B8E" w:rsidRDefault="00056F3A" w:rsidP="00056F3A">
      <w:pPr>
        <w:tabs>
          <w:tab w:val="left" w:pos="1134"/>
          <w:tab w:val="left" w:pos="1418"/>
          <w:tab w:val="num" w:pos="1980"/>
          <w:tab w:val="left" w:pos="2127"/>
        </w:tabs>
        <w:ind w:firstLine="851"/>
        <w:jc w:val="both"/>
        <w:rPr>
          <w:rFonts w:ascii="ISOCPEUR" w:hAnsi="ISOCPEUR"/>
          <w:i/>
          <w:sz w:val="32"/>
          <w:szCs w:val="32"/>
          <w:u w:val="single"/>
        </w:rPr>
      </w:pPr>
    </w:p>
    <w:p w:rsidR="00056F3A" w:rsidRDefault="00056F3A" w:rsidP="00056F3A">
      <w:pPr>
        <w:tabs>
          <w:tab w:val="left" w:pos="1134"/>
          <w:tab w:val="left" w:pos="1254"/>
          <w:tab w:val="num" w:pos="1980"/>
          <w:tab w:val="left" w:pos="11160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bookmarkStart w:id="5" w:name="_Hlk499189063"/>
    </w:p>
    <w:p w:rsidR="00040085" w:rsidRDefault="00040085" w:rsidP="00056F3A">
      <w:pPr>
        <w:tabs>
          <w:tab w:val="left" w:pos="1134"/>
          <w:tab w:val="left" w:pos="1254"/>
          <w:tab w:val="num" w:pos="1980"/>
          <w:tab w:val="left" w:pos="11160"/>
        </w:tabs>
        <w:ind w:firstLine="851"/>
        <w:jc w:val="both"/>
        <w:rPr>
          <w:rFonts w:ascii="ISOCPEUR" w:hAnsi="ISOCPEUR"/>
          <w:i/>
          <w:sz w:val="32"/>
          <w:szCs w:val="32"/>
        </w:rPr>
      </w:pPr>
    </w:p>
    <w:p w:rsidR="00040085" w:rsidRPr="00A50B8E" w:rsidRDefault="00040085" w:rsidP="00056F3A">
      <w:pPr>
        <w:tabs>
          <w:tab w:val="left" w:pos="1134"/>
          <w:tab w:val="left" w:pos="1254"/>
          <w:tab w:val="num" w:pos="1980"/>
          <w:tab w:val="left" w:pos="11160"/>
        </w:tabs>
        <w:ind w:firstLine="851"/>
        <w:jc w:val="both"/>
        <w:rPr>
          <w:rFonts w:ascii="ISOCPEUR" w:hAnsi="ISOCPEUR"/>
          <w:i/>
          <w:sz w:val="32"/>
          <w:szCs w:val="32"/>
        </w:rPr>
      </w:pPr>
    </w:p>
    <w:p w:rsidR="00056F3A" w:rsidRPr="00A50B8E" w:rsidRDefault="00056F3A" w:rsidP="00056F3A">
      <w:pPr>
        <w:pStyle w:val="1"/>
        <w:tabs>
          <w:tab w:val="left" w:pos="1134"/>
          <w:tab w:val="left" w:pos="1254"/>
          <w:tab w:val="left" w:pos="2127"/>
        </w:tabs>
        <w:spacing w:before="0" w:after="0"/>
        <w:ind w:left="0" w:firstLine="851"/>
        <w:jc w:val="center"/>
        <w:rPr>
          <w:rFonts w:ascii="ISOCPEUR" w:hAnsi="ISOCPEUR"/>
          <w:i/>
          <w:iCs/>
          <w:color w:val="auto"/>
          <w:sz w:val="32"/>
          <w:szCs w:val="32"/>
        </w:rPr>
      </w:pPr>
      <w:bookmarkStart w:id="6" w:name="_Toc16692249"/>
      <w:bookmarkEnd w:id="5"/>
      <w:r w:rsidRPr="00A50B8E">
        <w:rPr>
          <w:rFonts w:ascii="ISOCPEUR" w:hAnsi="ISOCPEUR"/>
          <w:i/>
          <w:iCs/>
          <w:color w:val="auto"/>
          <w:sz w:val="32"/>
          <w:szCs w:val="32"/>
        </w:rPr>
        <w:t>Электропитание и заземление оборудования</w:t>
      </w:r>
      <w:bookmarkEnd w:id="6"/>
    </w:p>
    <w:p w:rsidR="00056F3A" w:rsidRPr="00A50B8E" w:rsidRDefault="00056F3A" w:rsidP="00056F3A">
      <w:pPr>
        <w:tabs>
          <w:tab w:val="left" w:pos="1134"/>
          <w:tab w:val="left" w:pos="1254"/>
        </w:tabs>
        <w:ind w:firstLine="851"/>
        <w:jc w:val="both"/>
        <w:rPr>
          <w:rFonts w:ascii="ISOCPEUR" w:hAnsi="ISOCPEUR"/>
          <w:i/>
          <w:sz w:val="32"/>
          <w:szCs w:val="32"/>
        </w:rPr>
      </w:pPr>
    </w:p>
    <w:p w:rsidR="00056F3A" w:rsidRPr="00A50B8E" w:rsidRDefault="00056F3A" w:rsidP="00056F3A">
      <w:pPr>
        <w:tabs>
          <w:tab w:val="left" w:pos="1134"/>
          <w:tab w:val="left" w:pos="1254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 xml:space="preserve">В соответствии с техническим заданием электроснабжение </w:t>
      </w:r>
      <w:r w:rsidR="00040085">
        <w:rPr>
          <w:rFonts w:ascii="ISOCPEUR" w:hAnsi="ISOCPEUR"/>
          <w:i/>
          <w:sz w:val="32"/>
          <w:szCs w:val="32"/>
        </w:rPr>
        <w:t>СКУД</w:t>
      </w:r>
      <w:r w:rsidRPr="00A50B8E">
        <w:rPr>
          <w:rFonts w:ascii="ISOCPEUR" w:hAnsi="ISOCPEUR"/>
          <w:i/>
          <w:sz w:val="32"/>
          <w:szCs w:val="32"/>
        </w:rPr>
        <w:t xml:space="preserve"> осуществляется по </w:t>
      </w:r>
      <w:r w:rsidRPr="00A50B8E">
        <w:rPr>
          <w:rFonts w:ascii="ISOCPEUR" w:hAnsi="ISOCPEUR"/>
          <w:i/>
          <w:sz w:val="32"/>
          <w:szCs w:val="32"/>
          <w:lang w:val="en-US"/>
        </w:rPr>
        <w:t>I</w:t>
      </w:r>
      <w:r w:rsidRPr="00A50B8E">
        <w:rPr>
          <w:rFonts w:ascii="ISOCPEUR" w:hAnsi="ISOCPEUR"/>
          <w:i/>
          <w:sz w:val="32"/>
          <w:szCs w:val="32"/>
        </w:rPr>
        <w:t xml:space="preserve"> категории электроснабжения</w:t>
      </w:r>
      <w:r w:rsidR="00040085">
        <w:rPr>
          <w:rFonts w:ascii="ISOCPEUR" w:hAnsi="ISOCPEUR"/>
          <w:i/>
          <w:sz w:val="32"/>
          <w:szCs w:val="32"/>
        </w:rPr>
        <w:t xml:space="preserve"> от ИБП</w:t>
      </w:r>
      <w:r w:rsidRPr="00A50B8E">
        <w:rPr>
          <w:rFonts w:ascii="ISOCPEUR" w:hAnsi="ISOCPEUR"/>
          <w:i/>
          <w:sz w:val="32"/>
          <w:szCs w:val="32"/>
        </w:rPr>
        <w:t>.</w:t>
      </w:r>
    </w:p>
    <w:p w:rsidR="00056F3A" w:rsidRPr="00A50B8E" w:rsidRDefault="00056F3A" w:rsidP="00056F3A">
      <w:pPr>
        <w:tabs>
          <w:tab w:val="left" w:pos="1134"/>
          <w:tab w:val="left" w:pos="1254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Для защиты обслуживающего персонала от опасных напряжений, которые могут возникнуть на корпусах электрооборудования в результате повреждений изоляции, предусмотрено заземление корпусов электрооборудования. При производстве работ руководствоваться СНиП 3.05.06-85 “Электротехнические устройства”.</w:t>
      </w:r>
    </w:p>
    <w:p w:rsidR="00056F3A" w:rsidRPr="00A50B8E" w:rsidRDefault="00056F3A" w:rsidP="00056F3A">
      <w:pPr>
        <w:tabs>
          <w:tab w:val="left" w:pos="1134"/>
          <w:tab w:val="left" w:pos="1254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Элементы электротехнического оборудования должны удовлетворять требованиям ГОСТ 12.2.007.0 по способу защиты человека от поражения его электрическим током.</w:t>
      </w:r>
    </w:p>
    <w:p w:rsidR="00056F3A" w:rsidRPr="00A50B8E" w:rsidRDefault="00056F3A" w:rsidP="00056F3A">
      <w:pPr>
        <w:tabs>
          <w:tab w:val="left" w:pos="1134"/>
          <w:tab w:val="left" w:pos="1254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Защитное заземление (зануление) электрооборудования должно быть выполнено в соответствии с требованиями ТКП 181-2009, ГОСТ 12.1.030 и технической документацией завода-изготовителя.</w:t>
      </w:r>
    </w:p>
    <w:p w:rsidR="00056F3A" w:rsidRPr="00056F3A" w:rsidRDefault="00056F3A" w:rsidP="00056F3A"/>
    <w:sectPr w:rsidR="00056F3A" w:rsidRPr="0005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8E263FA"/>
    <w:lvl w:ilvl="0">
      <w:start w:val="1"/>
      <w:numFmt w:val="decimal"/>
      <w:pStyle w:val="1"/>
      <w:suff w:val="space"/>
      <w:lvlText w:val="%1"/>
      <w:lvlJc w:val="left"/>
      <w:pPr>
        <w:ind w:left="3339" w:hanging="432"/>
      </w:pPr>
    </w:lvl>
    <w:lvl w:ilvl="1">
      <w:start w:val="1"/>
      <w:numFmt w:val="decimal"/>
      <w:pStyle w:val="2"/>
      <w:suff w:val="space"/>
      <w:lvlText w:val="%1.%2"/>
      <w:lvlJc w:val="left"/>
      <w:pPr>
        <w:ind w:left="1427" w:hanging="576"/>
      </w:p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</w:lvl>
    <w:lvl w:ilvl="4">
      <w:start w:val="1"/>
      <w:numFmt w:val="none"/>
      <w:pStyle w:val="5"/>
      <w:suff w:val="space"/>
      <w:lvlText w:val="Приложение 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3A"/>
    <w:rsid w:val="00040085"/>
    <w:rsid w:val="00056F3A"/>
    <w:rsid w:val="00244086"/>
    <w:rsid w:val="00672059"/>
    <w:rsid w:val="00983FB0"/>
    <w:rsid w:val="00B6065F"/>
    <w:rsid w:val="00C22ACE"/>
    <w:rsid w:val="00DD01CC"/>
    <w:rsid w:val="00E628E0"/>
    <w:rsid w:val="00F3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98B8"/>
  <w15:chartTrackingRefBased/>
  <w15:docId w15:val="{82A107A8-FD59-46AB-B9CC-5CAE22C7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F3A"/>
    <w:pPr>
      <w:keepNext/>
      <w:keepLines/>
      <w:numPr>
        <w:numId w:val="1"/>
      </w:numPr>
      <w:suppressAutoHyphens/>
      <w:spacing w:before="120" w:after="120"/>
      <w:outlineLvl w:val="0"/>
    </w:pPr>
    <w:rPr>
      <w:rFonts w:ascii="Arial" w:hAnsi="Arial" w:cs="Arial"/>
      <w:b/>
      <w:color w:val="FF0000"/>
      <w:kern w:val="32"/>
      <w:sz w:val="28"/>
      <w:szCs w:val="20"/>
    </w:rPr>
  </w:style>
  <w:style w:type="paragraph" w:styleId="2">
    <w:name w:val="heading 2"/>
    <w:basedOn w:val="a"/>
    <w:next w:val="a"/>
    <w:link w:val="20"/>
    <w:qFormat/>
    <w:rsid w:val="00056F3A"/>
    <w:pPr>
      <w:keepNext/>
      <w:keepLines/>
      <w:numPr>
        <w:ilvl w:val="1"/>
        <w:numId w:val="1"/>
      </w:numPr>
      <w:suppressAutoHyphens/>
      <w:spacing w:before="120" w:after="120"/>
      <w:ind w:left="0" w:firstLine="567"/>
      <w:outlineLvl w:val="1"/>
    </w:pPr>
    <w:rPr>
      <w:rFonts w:ascii="ISOCPEUR" w:hAnsi="ISOCPEUR" w:cs="Arial"/>
      <w:b/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056F3A"/>
    <w:pPr>
      <w:keepNext/>
      <w:keepLines/>
      <w:numPr>
        <w:ilvl w:val="2"/>
        <w:numId w:val="1"/>
      </w:numPr>
      <w:spacing w:before="120" w:after="120"/>
      <w:ind w:left="0" w:firstLine="567"/>
      <w:outlineLvl w:val="2"/>
    </w:pPr>
    <w:rPr>
      <w:rFonts w:ascii="Arial" w:hAnsi="Arial" w:cs="Arial"/>
      <w:b/>
      <w:color w:val="FF0000"/>
      <w:sz w:val="22"/>
      <w:szCs w:val="20"/>
    </w:rPr>
  </w:style>
  <w:style w:type="paragraph" w:styleId="4">
    <w:name w:val="heading 4"/>
    <w:basedOn w:val="a"/>
    <w:next w:val="a"/>
    <w:link w:val="40"/>
    <w:qFormat/>
    <w:rsid w:val="00056F3A"/>
    <w:pPr>
      <w:keepNext/>
      <w:keepLines/>
      <w:numPr>
        <w:ilvl w:val="3"/>
        <w:numId w:val="1"/>
      </w:numPr>
      <w:spacing w:before="120" w:after="120"/>
      <w:ind w:left="0" w:firstLine="567"/>
      <w:outlineLvl w:val="3"/>
    </w:pPr>
    <w:rPr>
      <w:rFonts w:ascii="Arial" w:hAnsi="Arial" w:cs="Arial"/>
      <w:b/>
      <w:i/>
      <w:color w:val="FF0000"/>
      <w:sz w:val="22"/>
      <w:szCs w:val="20"/>
    </w:rPr>
  </w:style>
  <w:style w:type="paragraph" w:styleId="5">
    <w:name w:val="heading 5"/>
    <w:basedOn w:val="a"/>
    <w:next w:val="a"/>
    <w:link w:val="50"/>
    <w:qFormat/>
    <w:rsid w:val="00056F3A"/>
    <w:pPr>
      <w:keepNext/>
      <w:keepLines/>
      <w:numPr>
        <w:ilvl w:val="4"/>
        <w:numId w:val="1"/>
      </w:numPr>
      <w:spacing w:before="120" w:after="120"/>
      <w:ind w:left="1009" w:hanging="1009"/>
      <w:jc w:val="center"/>
      <w:outlineLvl w:val="4"/>
    </w:pPr>
    <w:rPr>
      <w:rFonts w:ascii="Arial" w:hAnsi="Arial" w:cs="Arial"/>
      <w:b/>
      <w:color w:val="FF0000"/>
      <w:szCs w:val="20"/>
    </w:rPr>
  </w:style>
  <w:style w:type="paragraph" w:styleId="6">
    <w:name w:val="heading 6"/>
    <w:basedOn w:val="a"/>
    <w:next w:val="a"/>
    <w:link w:val="60"/>
    <w:qFormat/>
    <w:rsid w:val="00056F3A"/>
    <w:pPr>
      <w:numPr>
        <w:ilvl w:val="5"/>
        <w:numId w:val="1"/>
      </w:numPr>
      <w:spacing w:before="240" w:after="60"/>
      <w:jc w:val="center"/>
      <w:outlineLvl w:val="5"/>
    </w:pPr>
    <w:rPr>
      <w:rFonts w:ascii="Arial" w:hAnsi="Arial" w:cs="Arial"/>
      <w:i/>
      <w:color w:val="FF0000"/>
      <w:sz w:val="22"/>
      <w:szCs w:val="20"/>
    </w:rPr>
  </w:style>
  <w:style w:type="paragraph" w:styleId="7">
    <w:name w:val="heading 7"/>
    <w:basedOn w:val="a"/>
    <w:next w:val="a"/>
    <w:link w:val="70"/>
    <w:qFormat/>
    <w:rsid w:val="00056F3A"/>
    <w:pPr>
      <w:numPr>
        <w:ilvl w:val="6"/>
        <w:numId w:val="1"/>
      </w:numPr>
      <w:spacing w:before="120" w:after="60"/>
      <w:jc w:val="center"/>
      <w:outlineLvl w:val="6"/>
    </w:pPr>
    <w:rPr>
      <w:rFonts w:ascii="Arial" w:hAnsi="Arial" w:cs="Arial"/>
      <w:color w:val="FF0000"/>
      <w:sz w:val="22"/>
      <w:szCs w:val="20"/>
    </w:rPr>
  </w:style>
  <w:style w:type="paragraph" w:styleId="8">
    <w:name w:val="heading 8"/>
    <w:basedOn w:val="a"/>
    <w:next w:val="a"/>
    <w:link w:val="80"/>
    <w:qFormat/>
    <w:rsid w:val="00056F3A"/>
    <w:pPr>
      <w:numPr>
        <w:ilvl w:val="7"/>
        <w:numId w:val="1"/>
      </w:numPr>
      <w:spacing w:before="120" w:after="60"/>
      <w:jc w:val="center"/>
      <w:outlineLvl w:val="7"/>
    </w:pPr>
    <w:rPr>
      <w:rFonts w:ascii="Arial" w:hAnsi="Arial" w:cs="Arial"/>
      <w:i/>
      <w:color w:val="FF0000"/>
      <w:sz w:val="22"/>
      <w:szCs w:val="20"/>
    </w:rPr>
  </w:style>
  <w:style w:type="paragraph" w:styleId="9">
    <w:name w:val="heading 9"/>
    <w:basedOn w:val="a"/>
    <w:next w:val="a"/>
    <w:link w:val="90"/>
    <w:qFormat/>
    <w:rsid w:val="00056F3A"/>
    <w:pPr>
      <w:numPr>
        <w:ilvl w:val="8"/>
        <w:numId w:val="1"/>
      </w:numPr>
      <w:spacing w:before="120" w:after="60"/>
      <w:jc w:val="center"/>
      <w:outlineLvl w:val="8"/>
    </w:pPr>
    <w:rPr>
      <w:rFonts w:ascii="Arial" w:hAnsi="Arial" w:cs="Arial"/>
      <w:i/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056F3A"/>
    <w:rPr>
      <w:rFonts w:ascii="ISOCPEUR" w:hAnsi="ISOCPEUR"/>
      <w:i/>
      <w:sz w:val="32"/>
    </w:rPr>
  </w:style>
  <w:style w:type="character" w:styleId="a3">
    <w:name w:val="Hyperlink"/>
    <w:uiPriority w:val="99"/>
    <w:unhideWhenUsed/>
    <w:rsid w:val="00056F3A"/>
    <w:rPr>
      <w:color w:val="0000FF"/>
      <w:u w:val="single"/>
    </w:rPr>
  </w:style>
  <w:style w:type="paragraph" w:customStyle="1" w:styleId="ISOCPEUR22">
    <w:name w:val="Стиль ISOCPEUR 22 пт полужирный курсив По центру Междустр.инте..."/>
    <w:basedOn w:val="a"/>
    <w:rsid w:val="00056F3A"/>
    <w:pPr>
      <w:spacing w:after="120"/>
      <w:jc w:val="center"/>
    </w:pPr>
    <w:rPr>
      <w:rFonts w:ascii="ISOCPEUR" w:hAnsi="ISOCPEUR"/>
      <w:b/>
      <w:bCs/>
      <w:i/>
      <w:iCs/>
      <w:sz w:val="44"/>
      <w:szCs w:val="20"/>
    </w:rPr>
  </w:style>
  <w:style w:type="character" w:customStyle="1" w:styleId="10">
    <w:name w:val="Заголовок 1 Знак"/>
    <w:basedOn w:val="a0"/>
    <w:link w:val="1"/>
    <w:rsid w:val="00056F3A"/>
    <w:rPr>
      <w:rFonts w:ascii="Arial" w:eastAsia="Times New Roman" w:hAnsi="Arial" w:cs="Arial"/>
      <w:b/>
      <w:color w:val="FF0000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F3A"/>
    <w:rPr>
      <w:rFonts w:ascii="ISOCPEUR" w:eastAsia="Times New Roman" w:hAnsi="ISOCPEUR" w:cs="Arial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6F3A"/>
    <w:rPr>
      <w:rFonts w:ascii="Arial" w:eastAsia="Times New Roman" w:hAnsi="Arial" w:cs="Arial"/>
      <w:b/>
      <w:color w:val="FF000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6F3A"/>
    <w:rPr>
      <w:rFonts w:ascii="Arial" w:eastAsia="Times New Roman" w:hAnsi="Arial" w:cs="Arial"/>
      <w:b/>
      <w:i/>
      <w:color w:val="FF000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6F3A"/>
    <w:rPr>
      <w:rFonts w:ascii="Arial" w:eastAsia="Times New Roman" w:hAnsi="Arial" w:cs="Arial"/>
      <w:b/>
      <w:color w:val="FF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6F3A"/>
    <w:rPr>
      <w:rFonts w:ascii="Arial" w:eastAsia="Times New Roman" w:hAnsi="Arial" w:cs="Arial"/>
      <w:i/>
      <w:color w:val="FF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6F3A"/>
    <w:rPr>
      <w:rFonts w:ascii="Arial" w:eastAsia="Times New Roman" w:hAnsi="Arial" w:cs="Arial"/>
      <w:color w:val="FF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6F3A"/>
    <w:rPr>
      <w:rFonts w:ascii="Arial" w:eastAsia="Times New Roman" w:hAnsi="Arial" w:cs="Arial"/>
      <w:i/>
      <w:color w:val="FF000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6F3A"/>
    <w:rPr>
      <w:rFonts w:ascii="Arial" w:eastAsia="Times New Roman" w:hAnsi="Arial" w:cs="Arial"/>
      <w:i/>
      <w:color w:val="FF0000"/>
      <w:sz w:val="24"/>
      <w:szCs w:val="20"/>
      <w:lang w:eastAsia="ru-RU"/>
    </w:rPr>
  </w:style>
  <w:style w:type="paragraph" w:styleId="a4">
    <w:name w:val="Body Text Indent"/>
    <w:basedOn w:val="a"/>
    <w:link w:val="a5"/>
    <w:rsid w:val="00056F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56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Дмитрий Игоревич</dc:creator>
  <cp:keywords/>
  <dc:description/>
  <cp:lastModifiedBy>Смолянко Ольга Игоревна</cp:lastModifiedBy>
  <cp:revision>5</cp:revision>
  <dcterms:created xsi:type="dcterms:W3CDTF">2019-08-14T15:12:00Z</dcterms:created>
  <dcterms:modified xsi:type="dcterms:W3CDTF">2019-08-28T09:40:00Z</dcterms:modified>
</cp:coreProperties>
</file>