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14" w:rsidRPr="00A50B8E" w:rsidRDefault="00B66714" w:rsidP="00B66714">
      <w:pPr>
        <w:pStyle w:val="1"/>
        <w:numPr>
          <w:ilvl w:val="0"/>
          <w:numId w:val="0"/>
        </w:numPr>
        <w:tabs>
          <w:tab w:val="left" w:pos="1134"/>
          <w:tab w:val="left" w:pos="1254"/>
          <w:tab w:val="left" w:pos="2127"/>
        </w:tabs>
        <w:spacing w:before="0" w:after="0"/>
        <w:ind w:left="851"/>
        <w:rPr>
          <w:rFonts w:ascii="ISOCPEUR" w:hAnsi="ISOCPEUR"/>
          <w:i/>
          <w:iCs/>
          <w:color w:val="auto"/>
          <w:sz w:val="32"/>
          <w:szCs w:val="32"/>
        </w:rPr>
      </w:pPr>
      <w:bookmarkStart w:id="0" w:name="_Toc16692249"/>
      <w:bookmarkStart w:id="1" w:name="_GoBack"/>
      <w:bookmarkEnd w:id="1"/>
      <w:r w:rsidRPr="00A50B8E">
        <w:rPr>
          <w:rFonts w:ascii="ISOCPEUR" w:hAnsi="ISOCPEUR"/>
          <w:i/>
          <w:iCs/>
          <w:color w:val="auto"/>
          <w:sz w:val="32"/>
          <w:szCs w:val="32"/>
        </w:rPr>
        <w:t>Электропитание и заземление оборудования</w:t>
      </w:r>
      <w:bookmarkEnd w:id="0"/>
    </w:p>
    <w:p w:rsidR="00B66714" w:rsidRPr="00A50B8E" w:rsidRDefault="00B66714" w:rsidP="00B66714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</w:p>
    <w:p w:rsidR="00B66714" w:rsidRPr="00A50B8E" w:rsidRDefault="00B66714" w:rsidP="00B66714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В соответствии с техническим заданием электроснабжение </w:t>
      </w:r>
      <w:r>
        <w:rPr>
          <w:rFonts w:ascii="ISOCPEUR" w:hAnsi="ISOCPEUR"/>
          <w:i/>
          <w:sz w:val="32"/>
          <w:szCs w:val="32"/>
        </w:rPr>
        <w:t>СКУД</w:t>
      </w:r>
      <w:r w:rsidRPr="00A50B8E">
        <w:rPr>
          <w:rFonts w:ascii="ISOCPEUR" w:hAnsi="ISOCPEUR"/>
          <w:i/>
          <w:sz w:val="32"/>
          <w:szCs w:val="32"/>
        </w:rPr>
        <w:t xml:space="preserve"> осуществляется по </w:t>
      </w:r>
      <w:r w:rsidRPr="00A50B8E">
        <w:rPr>
          <w:rFonts w:ascii="ISOCPEUR" w:hAnsi="ISOCPEUR"/>
          <w:i/>
          <w:sz w:val="32"/>
          <w:szCs w:val="32"/>
          <w:lang w:val="en-US"/>
        </w:rPr>
        <w:t>I</w:t>
      </w:r>
      <w:r w:rsidRPr="00A50B8E">
        <w:rPr>
          <w:rFonts w:ascii="ISOCPEUR" w:hAnsi="ISOCPEUR"/>
          <w:i/>
          <w:sz w:val="32"/>
          <w:szCs w:val="32"/>
        </w:rPr>
        <w:t xml:space="preserve"> категории электроснабжения</w:t>
      </w:r>
      <w:r>
        <w:rPr>
          <w:rFonts w:ascii="ISOCPEUR" w:hAnsi="ISOCPEUR"/>
          <w:i/>
          <w:sz w:val="32"/>
          <w:szCs w:val="32"/>
        </w:rPr>
        <w:t xml:space="preserve"> от ИБП</w:t>
      </w:r>
      <w:r w:rsidRPr="00A50B8E">
        <w:rPr>
          <w:rFonts w:ascii="ISOCPEUR" w:hAnsi="ISOCPEUR"/>
          <w:i/>
          <w:sz w:val="32"/>
          <w:szCs w:val="32"/>
        </w:rPr>
        <w:t>.</w:t>
      </w:r>
    </w:p>
    <w:p w:rsidR="00B66714" w:rsidRPr="00A50B8E" w:rsidRDefault="00B66714" w:rsidP="00B66714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Для защиты обслуживающего персонала от опасных напряжений, которые могут возникнуть на корпусах электрооборудования в результате повреждений изоляции, предусмотрено заземление корпусов электрооборудования. При производстве работ руководствоваться СНиП 3.05.06-85 “Электротехнические устройства”.</w:t>
      </w:r>
    </w:p>
    <w:p w:rsidR="00B66714" w:rsidRPr="00A50B8E" w:rsidRDefault="00B66714" w:rsidP="00B66714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Элементы электротехнического оборудования должны удовлетворять требованиям ГОСТ 12.2.007.0 по способу защиты человека от поражения его электрическим током.</w:t>
      </w:r>
    </w:p>
    <w:p w:rsidR="00B66714" w:rsidRPr="00A50B8E" w:rsidRDefault="00B66714" w:rsidP="00B66714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Защитное заземление (</w:t>
      </w:r>
      <w:proofErr w:type="spellStart"/>
      <w:r w:rsidRPr="00A50B8E">
        <w:rPr>
          <w:rFonts w:ascii="ISOCPEUR" w:hAnsi="ISOCPEUR"/>
          <w:i/>
          <w:sz w:val="32"/>
          <w:szCs w:val="32"/>
        </w:rPr>
        <w:t>зануление</w:t>
      </w:r>
      <w:proofErr w:type="spellEnd"/>
      <w:r w:rsidRPr="00A50B8E">
        <w:rPr>
          <w:rFonts w:ascii="ISOCPEUR" w:hAnsi="ISOCPEUR"/>
          <w:i/>
          <w:sz w:val="32"/>
          <w:szCs w:val="32"/>
        </w:rPr>
        <w:t>) электрооборудования должно быть выполнено в соответствии с требованиями ТКП 181-2009, ГОСТ 12.1.030 и технической документацией завода-изготовителя.</w:t>
      </w:r>
    </w:p>
    <w:p w:rsidR="00B66714" w:rsidRPr="00056F3A" w:rsidRDefault="00B66714" w:rsidP="00B66714"/>
    <w:p w:rsidR="00AF1A53" w:rsidRDefault="00AF1A53"/>
    <w:sectPr w:rsidR="00AF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8E263FA"/>
    <w:lvl w:ilvl="0">
      <w:start w:val="1"/>
      <w:numFmt w:val="decimal"/>
      <w:pStyle w:val="1"/>
      <w:suff w:val="space"/>
      <w:lvlText w:val="%1"/>
      <w:lvlJc w:val="left"/>
      <w:pPr>
        <w:ind w:left="3339" w:hanging="432"/>
      </w:pPr>
    </w:lvl>
    <w:lvl w:ilvl="1">
      <w:start w:val="1"/>
      <w:numFmt w:val="decimal"/>
      <w:pStyle w:val="2"/>
      <w:suff w:val="space"/>
      <w:lvlText w:val="%1.%2"/>
      <w:lvlJc w:val="left"/>
      <w:pPr>
        <w:ind w:left="1427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</w:lvl>
    <w:lvl w:ilvl="4">
      <w:start w:val="1"/>
      <w:numFmt w:val="none"/>
      <w:pStyle w:val="5"/>
      <w:suff w:val="space"/>
      <w:lvlText w:val="Приложение 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7A"/>
    <w:rsid w:val="00AF1A53"/>
    <w:rsid w:val="00B66714"/>
    <w:rsid w:val="00F0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B42F"/>
  <w15:chartTrackingRefBased/>
  <w15:docId w15:val="{6DBE7077-7EFC-48D8-B416-0EAB4C60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714"/>
    <w:pPr>
      <w:keepNext/>
      <w:keepLines/>
      <w:numPr>
        <w:numId w:val="1"/>
      </w:numPr>
      <w:suppressAutoHyphens/>
      <w:spacing w:before="120" w:after="120"/>
      <w:outlineLvl w:val="0"/>
    </w:pPr>
    <w:rPr>
      <w:rFonts w:ascii="Arial" w:hAnsi="Arial" w:cs="Arial"/>
      <w:b/>
      <w:color w:val="FF0000"/>
      <w:kern w:val="32"/>
      <w:sz w:val="28"/>
      <w:szCs w:val="20"/>
    </w:rPr>
  </w:style>
  <w:style w:type="paragraph" w:styleId="2">
    <w:name w:val="heading 2"/>
    <w:basedOn w:val="a"/>
    <w:next w:val="a"/>
    <w:link w:val="20"/>
    <w:qFormat/>
    <w:rsid w:val="00B66714"/>
    <w:pPr>
      <w:keepNext/>
      <w:keepLines/>
      <w:numPr>
        <w:ilvl w:val="1"/>
        <w:numId w:val="1"/>
      </w:numPr>
      <w:suppressAutoHyphens/>
      <w:spacing w:before="120" w:after="120"/>
      <w:ind w:left="0" w:firstLine="567"/>
      <w:outlineLvl w:val="1"/>
    </w:pPr>
    <w:rPr>
      <w:rFonts w:ascii="ISOCPEUR" w:hAnsi="ISOCPEUR" w:cs="Arial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B66714"/>
    <w:pPr>
      <w:keepNext/>
      <w:keepLines/>
      <w:numPr>
        <w:ilvl w:val="2"/>
        <w:numId w:val="1"/>
      </w:numPr>
      <w:spacing w:before="120" w:after="120"/>
      <w:ind w:left="0" w:firstLine="567"/>
      <w:outlineLvl w:val="2"/>
    </w:pPr>
    <w:rPr>
      <w:rFonts w:ascii="Arial" w:hAnsi="Arial" w:cs="Arial"/>
      <w:b/>
      <w:color w:val="FF0000"/>
      <w:sz w:val="22"/>
      <w:szCs w:val="20"/>
    </w:rPr>
  </w:style>
  <w:style w:type="paragraph" w:styleId="4">
    <w:name w:val="heading 4"/>
    <w:basedOn w:val="a"/>
    <w:next w:val="a"/>
    <w:link w:val="40"/>
    <w:qFormat/>
    <w:rsid w:val="00B66714"/>
    <w:pPr>
      <w:keepNext/>
      <w:keepLines/>
      <w:numPr>
        <w:ilvl w:val="3"/>
        <w:numId w:val="1"/>
      </w:numPr>
      <w:spacing w:before="120" w:after="120"/>
      <w:ind w:left="0" w:firstLine="567"/>
      <w:outlineLvl w:val="3"/>
    </w:pPr>
    <w:rPr>
      <w:rFonts w:ascii="Arial" w:hAnsi="Arial" w:cs="Arial"/>
      <w:b/>
      <w:i/>
      <w:color w:val="FF0000"/>
      <w:sz w:val="22"/>
      <w:szCs w:val="20"/>
    </w:rPr>
  </w:style>
  <w:style w:type="paragraph" w:styleId="5">
    <w:name w:val="heading 5"/>
    <w:basedOn w:val="a"/>
    <w:next w:val="a"/>
    <w:link w:val="50"/>
    <w:qFormat/>
    <w:rsid w:val="00B66714"/>
    <w:pPr>
      <w:keepNext/>
      <w:keepLines/>
      <w:numPr>
        <w:ilvl w:val="4"/>
        <w:numId w:val="1"/>
      </w:numPr>
      <w:spacing w:before="120" w:after="120"/>
      <w:ind w:left="1009" w:hanging="1009"/>
      <w:jc w:val="center"/>
      <w:outlineLvl w:val="4"/>
    </w:pPr>
    <w:rPr>
      <w:rFonts w:ascii="Arial" w:hAnsi="Arial" w:cs="Arial"/>
      <w:b/>
      <w:color w:val="FF0000"/>
      <w:szCs w:val="20"/>
    </w:rPr>
  </w:style>
  <w:style w:type="paragraph" w:styleId="6">
    <w:name w:val="heading 6"/>
    <w:basedOn w:val="a"/>
    <w:next w:val="a"/>
    <w:link w:val="60"/>
    <w:qFormat/>
    <w:rsid w:val="00B66714"/>
    <w:pPr>
      <w:numPr>
        <w:ilvl w:val="5"/>
        <w:numId w:val="1"/>
      </w:numPr>
      <w:spacing w:before="240" w:after="60"/>
      <w:jc w:val="center"/>
      <w:outlineLvl w:val="5"/>
    </w:pPr>
    <w:rPr>
      <w:rFonts w:ascii="Arial" w:hAnsi="Arial" w:cs="Arial"/>
      <w:i/>
      <w:color w:val="FF0000"/>
      <w:sz w:val="22"/>
      <w:szCs w:val="20"/>
    </w:rPr>
  </w:style>
  <w:style w:type="paragraph" w:styleId="7">
    <w:name w:val="heading 7"/>
    <w:basedOn w:val="a"/>
    <w:next w:val="a"/>
    <w:link w:val="70"/>
    <w:qFormat/>
    <w:rsid w:val="00B66714"/>
    <w:pPr>
      <w:numPr>
        <w:ilvl w:val="6"/>
        <w:numId w:val="1"/>
      </w:numPr>
      <w:spacing w:before="120" w:after="60"/>
      <w:jc w:val="center"/>
      <w:outlineLvl w:val="6"/>
    </w:pPr>
    <w:rPr>
      <w:rFonts w:ascii="Arial" w:hAnsi="Arial" w:cs="Arial"/>
      <w:color w:val="FF0000"/>
      <w:sz w:val="22"/>
      <w:szCs w:val="20"/>
    </w:rPr>
  </w:style>
  <w:style w:type="paragraph" w:styleId="8">
    <w:name w:val="heading 8"/>
    <w:basedOn w:val="a"/>
    <w:next w:val="a"/>
    <w:link w:val="80"/>
    <w:qFormat/>
    <w:rsid w:val="00B66714"/>
    <w:pPr>
      <w:numPr>
        <w:ilvl w:val="7"/>
        <w:numId w:val="1"/>
      </w:numPr>
      <w:spacing w:before="120" w:after="60"/>
      <w:jc w:val="center"/>
      <w:outlineLvl w:val="7"/>
    </w:pPr>
    <w:rPr>
      <w:rFonts w:ascii="Arial" w:hAnsi="Arial" w:cs="Arial"/>
      <w:i/>
      <w:color w:val="FF0000"/>
      <w:sz w:val="22"/>
      <w:szCs w:val="20"/>
    </w:rPr>
  </w:style>
  <w:style w:type="paragraph" w:styleId="9">
    <w:name w:val="heading 9"/>
    <w:basedOn w:val="a"/>
    <w:next w:val="a"/>
    <w:link w:val="90"/>
    <w:qFormat/>
    <w:rsid w:val="00B66714"/>
    <w:pPr>
      <w:numPr>
        <w:ilvl w:val="8"/>
        <w:numId w:val="1"/>
      </w:numPr>
      <w:spacing w:before="120" w:after="60"/>
      <w:jc w:val="center"/>
      <w:outlineLvl w:val="8"/>
    </w:pPr>
    <w:rPr>
      <w:rFonts w:ascii="Arial" w:hAnsi="Arial" w:cs="Arial"/>
      <w:i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714"/>
    <w:rPr>
      <w:rFonts w:ascii="Arial" w:eastAsia="Times New Roman" w:hAnsi="Arial" w:cs="Arial"/>
      <w:b/>
      <w:color w:val="FF0000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714"/>
    <w:rPr>
      <w:rFonts w:ascii="ISOCPEUR" w:eastAsia="Times New Roman" w:hAnsi="ISOCPEUR" w:cs="Arial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6714"/>
    <w:rPr>
      <w:rFonts w:ascii="Arial" w:eastAsia="Times New Roman" w:hAnsi="Arial" w:cs="Arial"/>
      <w:b/>
      <w:color w:val="FF000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714"/>
    <w:rPr>
      <w:rFonts w:ascii="Arial" w:eastAsia="Times New Roman" w:hAnsi="Arial" w:cs="Arial"/>
      <w:b/>
      <w:i/>
      <w:color w:val="FF000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6714"/>
    <w:rPr>
      <w:rFonts w:ascii="Arial" w:eastAsia="Times New Roman" w:hAnsi="Arial" w:cs="Arial"/>
      <w:b/>
      <w:color w:val="FF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6714"/>
    <w:rPr>
      <w:rFonts w:ascii="Arial" w:eastAsia="Times New Roman" w:hAnsi="Arial" w:cs="Arial"/>
      <w:i/>
      <w:color w:val="FF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6714"/>
    <w:rPr>
      <w:rFonts w:ascii="Arial" w:eastAsia="Times New Roman" w:hAnsi="Arial" w:cs="Arial"/>
      <w:color w:val="FF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6714"/>
    <w:rPr>
      <w:rFonts w:ascii="Arial" w:eastAsia="Times New Roman" w:hAnsi="Arial" w:cs="Arial"/>
      <w:i/>
      <w:color w:val="FF000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6714"/>
    <w:rPr>
      <w:rFonts w:ascii="Arial" w:eastAsia="Times New Roman" w:hAnsi="Arial" w:cs="Arial"/>
      <w:i/>
      <w:color w:val="FF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Смолянко Ольга Игоревна</dc:creator>
  <cp:keywords/>
  <dc:description/>
  <cp:lastModifiedBy>Смолянко Ольга Игоревна</cp:lastModifiedBy>
  <cp:revision>2</cp:revision>
  <dcterms:created xsi:type="dcterms:W3CDTF">2019-08-28T09:31:00Z</dcterms:created>
  <dcterms:modified xsi:type="dcterms:W3CDTF">2019-08-28T09:31:00Z</dcterms:modified>
</cp:coreProperties>
</file>