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3A" w:rsidRDefault="00056F3A" w:rsidP="00056F3A">
      <w:pPr>
        <w:rPr>
          <w:rFonts w:ascii="ISOCPEUR" w:hAnsi="ISOCPEUR"/>
          <w:i/>
          <w:sz w:val="32"/>
          <w:szCs w:val="32"/>
        </w:rPr>
      </w:pPr>
    </w:p>
    <w:p w:rsidR="00056F3A" w:rsidRPr="00A50B8E" w:rsidRDefault="00056F3A" w:rsidP="00056F3A">
      <w:pPr>
        <w:ind w:firstLine="851"/>
        <w:jc w:val="both"/>
        <w:rPr>
          <w:rFonts w:ascii="ISOCPEUR" w:hAnsi="ISOCPEUR"/>
          <w:i/>
          <w:sz w:val="32"/>
          <w:szCs w:val="32"/>
        </w:rPr>
      </w:pPr>
    </w:p>
    <w:p w:rsidR="00056F3A" w:rsidRPr="00A50B8E" w:rsidRDefault="00056F3A" w:rsidP="00056F3A">
      <w:pPr>
        <w:pStyle w:val="1"/>
        <w:tabs>
          <w:tab w:val="left" w:pos="1134"/>
          <w:tab w:val="left" w:pos="1197"/>
          <w:tab w:val="left" w:pos="2127"/>
        </w:tabs>
        <w:ind w:left="0" w:firstLine="851"/>
        <w:jc w:val="center"/>
        <w:rPr>
          <w:rFonts w:ascii="ISOCPEUR" w:hAnsi="ISOCPEUR"/>
          <w:i/>
          <w:iCs/>
          <w:color w:val="auto"/>
          <w:sz w:val="32"/>
          <w:szCs w:val="32"/>
        </w:rPr>
      </w:pPr>
      <w:bookmarkStart w:id="0" w:name="_Toc16692248"/>
      <w:r w:rsidRPr="00A50B8E">
        <w:rPr>
          <w:rFonts w:ascii="ISOCPEUR" w:hAnsi="ISOCPEUR"/>
          <w:i/>
          <w:iCs/>
          <w:color w:val="auto"/>
          <w:sz w:val="32"/>
          <w:szCs w:val="32"/>
        </w:rPr>
        <w:t>Монтаж оборудования и электропроводов</w:t>
      </w:r>
      <w:bookmarkEnd w:id="0"/>
    </w:p>
    <w:p w:rsidR="00056F3A" w:rsidRPr="00A50B8E" w:rsidRDefault="00056F3A" w:rsidP="00056F3A">
      <w:pPr>
        <w:ind w:firstLine="851"/>
        <w:jc w:val="both"/>
        <w:rPr>
          <w:rFonts w:ascii="ISOCPEUR" w:hAnsi="ISOCPEUR"/>
          <w:i/>
          <w:sz w:val="32"/>
          <w:szCs w:val="32"/>
          <w:u w:val="single"/>
        </w:rPr>
      </w:pP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  <w:u w:val="single"/>
        </w:rPr>
        <w:t>Технические средства ТСВ</w:t>
      </w:r>
      <w:r w:rsidRPr="00A50B8E">
        <w:rPr>
          <w:rFonts w:ascii="ISOCPEUR" w:hAnsi="ISOCPEUR"/>
          <w:i/>
          <w:sz w:val="32"/>
          <w:szCs w:val="32"/>
        </w:rPr>
        <w:t xml:space="preserve"> устанавливаются согласно схемам разводки сети. </w:t>
      </w: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Видеокамеры устанавливаются в местах, обеспечивающих наилучший обзор контролируемых участков и отсутствие мёртвых зон. Видеокамеры располагают в пределах прямой видимости наблюдаемого объекта так, чтобы в поле зрения объектива не попало прямое освещение постороннего источника света. В случаях, когда установить видеокамеры в местах, указанных в проекте невозможно, допускается переносить их. При этом необходимо обеспечивать сохранение сцены (зоны контроля) до и после переноса. </w:t>
      </w: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Разводка кабелей выполняется в соответствии с планом сети. Кабельные трассы проложить по стенам за подвесным потолком, спуски кабельных трасс проложить в коробах ПВХ по стенам. Проходы кабельных трасс сквозь стены выполнить в отрезках жестких труб ПВХ. Зазоры между проводами, кабелями и трубой ПВХ заделать с обеих сторон легко удаляемой массой из несгораемого материала. </w:t>
      </w: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При параллельной прокладке расстояние от кабелей телевизионной системы видеонаблюдения до силовых и осветительных кабелей должно быть не менее 0,5м.  </w:t>
      </w: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Места расположения оборудования и кабельных линий могут корректироваться по месту при сохранении зон защиты. Устанавливаемое оборудование и кабельные линии маркируются в соответствии с обозначениями, принятыми в данном проекте.</w:t>
      </w: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Строительно-монтажные работы следует выполнять с использованием средств малой механизации, механизированного и электрифицированного инструмента и приспособлений, сокращающих применение ручного труда. Строительно-монтажные работы необходимо выполнять согласно требованиям ПУЭ, ГОСТ 12.1.030, СНиП 3.05.06-85, </w:t>
      </w:r>
      <w:r w:rsidRPr="00A50B8E">
        <w:rPr>
          <w:rFonts w:ascii="ISOCPEUR" w:hAnsi="ISOCPEUR"/>
          <w:i/>
          <w:sz w:val="32"/>
          <w:szCs w:val="32"/>
        </w:rPr>
        <w:lastRenderedPageBreak/>
        <w:t>технической документацией завода-изготовителя оборудования.</w:t>
      </w:r>
    </w:p>
    <w:p w:rsidR="00056F3A" w:rsidRPr="00A50B8E" w:rsidRDefault="00056F3A" w:rsidP="00D74368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  <w:u w:val="single"/>
        </w:rPr>
      </w:pPr>
      <w:r w:rsidRPr="00A50B8E">
        <w:rPr>
          <w:rFonts w:ascii="ISOCPEUR" w:hAnsi="ISOCPEUR"/>
          <w:i/>
          <w:sz w:val="32"/>
          <w:szCs w:val="32"/>
        </w:rPr>
        <w:t>Пуско-наладочные работы должны выполняться монтажно-наладочной организацией с соответствующей лицензией (разрешением) в соответствии с требованиями СНиП 3.05.06, технической документацией завода изготовителя оборудования.</w:t>
      </w:r>
      <w:bookmarkStart w:id="1" w:name="_GoBack"/>
      <w:bookmarkEnd w:id="1"/>
    </w:p>
    <w:p w:rsidR="00056F3A" w:rsidRPr="00A50B8E" w:rsidRDefault="00056F3A" w:rsidP="00056F3A">
      <w:pPr>
        <w:tabs>
          <w:tab w:val="left" w:pos="1134"/>
          <w:tab w:val="left" w:pos="1254"/>
          <w:tab w:val="num" w:pos="1980"/>
          <w:tab w:val="left" w:pos="11160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bookmarkStart w:id="2" w:name="_Hlk499189063"/>
      <w:bookmarkEnd w:id="2"/>
    </w:p>
    <w:sectPr w:rsidR="00056F3A" w:rsidRPr="00A5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8E263FA"/>
    <w:lvl w:ilvl="0">
      <w:start w:val="1"/>
      <w:numFmt w:val="decimal"/>
      <w:pStyle w:val="1"/>
      <w:suff w:val="space"/>
      <w:lvlText w:val="%1"/>
      <w:lvlJc w:val="left"/>
      <w:pPr>
        <w:ind w:left="1425" w:hanging="432"/>
      </w:pPr>
    </w:lvl>
    <w:lvl w:ilvl="1">
      <w:start w:val="1"/>
      <w:numFmt w:val="decimal"/>
      <w:pStyle w:val="2"/>
      <w:suff w:val="space"/>
      <w:lvlText w:val="%1.%2"/>
      <w:lvlJc w:val="left"/>
      <w:pPr>
        <w:ind w:left="3979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3272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3416" w:hanging="864"/>
      </w:pPr>
    </w:lvl>
    <w:lvl w:ilvl="4">
      <w:start w:val="1"/>
      <w:numFmt w:val="none"/>
      <w:pStyle w:val="5"/>
      <w:suff w:val="space"/>
      <w:lvlText w:val="Приложение %5"/>
      <w:lvlJc w:val="left"/>
      <w:pPr>
        <w:ind w:left="356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704"/>
        </w:tabs>
        <w:ind w:left="370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8"/>
        </w:tabs>
        <w:ind w:left="384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992"/>
        </w:tabs>
        <w:ind w:left="399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136"/>
        </w:tabs>
        <w:ind w:left="413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A"/>
    <w:rsid w:val="00056F3A"/>
    <w:rsid w:val="000D087A"/>
    <w:rsid w:val="00104158"/>
    <w:rsid w:val="00672059"/>
    <w:rsid w:val="00983FB0"/>
    <w:rsid w:val="00D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07A8-FD59-46AB-B9CC-5CAE22C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F3A"/>
    <w:pPr>
      <w:keepNext/>
      <w:keepLines/>
      <w:numPr>
        <w:numId w:val="1"/>
      </w:numPr>
      <w:suppressAutoHyphens/>
      <w:spacing w:before="120" w:after="120"/>
      <w:ind w:left="3339"/>
      <w:outlineLvl w:val="0"/>
    </w:pPr>
    <w:rPr>
      <w:rFonts w:ascii="Arial" w:hAnsi="Arial" w:cs="Arial"/>
      <w:b/>
      <w:color w:val="FF0000"/>
      <w:kern w:val="32"/>
      <w:sz w:val="28"/>
      <w:szCs w:val="20"/>
    </w:rPr>
  </w:style>
  <w:style w:type="paragraph" w:styleId="2">
    <w:name w:val="heading 2"/>
    <w:basedOn w:val="a"/>
    <w:next w:val="a"/>
    <w:link w:val="20"/>
    <w:qFormat/>
    <w:rsid w:val="00056F3A"/>
    <w:pPr>
      <w:keepNext/>
      <w:keepLines/>
      <w:numPr>
        <w:ilvl w:val="1"/>
        <w:numId w:val="1"/>
      </w:numPr>
      <w:suppressAutoHyphens/>
      <w:spacing w:before="120" w:after="120"/>
      <w:ind w:left="0" w:firstLine="567"/>
      <w:outlineLvl w:val="1"/>
    </w:pPr>
    <w:rPr>
      <w:rFonts w:ascii="ISOCPEUR" w:hAnsi="ISOCPEUR" w:cs="Arial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056F3A"/>
    <w:pPr>
      <w:keepNext/>
      <w:keepLines/>
      <w:numPr>
        <w:ilvl w:val="2"/>
        <w:numId w:val="1"/>
      </w:numPr>
      <w:spacing w:before="120" w:after="120"/>
      <w:ind w:left="0" w:firstLine="567"/>
      <w:outlineLvl w:val="2"/>
    </w:pPr>
    <w:rPr>
      <w:rFonts w:ascii="Arial" w:hAnsi="Arial" w:cs="Arial"/>
      <w:b/>
      <w:color w:val="FF0000"/>
      <w:sz w:val="22"/>
      <w:szCs w:val="20"/>
    </w:rPr>
  </w:style>
  <w:style w:type="paragraph" w:styleId="4">
    <w:name w:val="heading 4"/>
    <w:basedOn w:val="a"/>
    <w:next w:val="a"/>
    <w:link w:val="40"/>
    <w:qFormat/>
    <w:rsid w:val="00056F3A"/>
    <w:pPr>
      <w:keepNext/>
      <w:keepLines/>
      <w:numPr>
        <w:ilvl w:val="3"/>
        <w:numId w:val="1"/>
      </w:numPr>
      <w:spacing w:before="120" w:after="120"/>
      <w:ind w:left="0" w:firstLine="567"/>
      <w:outlineLvl w:val="3"/>
    </w:pPr>
    <w:rPr>
      <w:rFonts w:ascii="Arial" w:hAnsi="Arial" w:cs="Arial"/>
      <w:b/>
      <w:i/>
      <w:color w:val="FF0000"/>
      <w:sz w:val="22"/>
      <w:szCs w:val="20"/>
    </w:rPr>
  </w:style>
  <w:style w:type="paragraph" w:styleId="5">
    <w:name w:val="heading 5"/>
    <w:basedOn w:val="a"/>
    <w:next w:val="a"/>
    <w:link w:val="50"/>
    <w:qFormat/>
    <w:rsid w:val="00056F3A"/>
    <w:pPr>
      <w:keepNext/>
      <w:keepLines/>
      <w:numPr>
        <w:ilvl w:val="4"/>
        <w:numId w:val="1"/>
      </w:numPr>
      <w:spacing w:before="120" w:after="120"/>
      <w:ind w:left="1009" w:hanging="1009"/>
      <w:jc w:val="center"/>
      <w:outlineLvl w:val="4"/>
    </w:pPr>
    <w:rPr>
      <w:rFonts w:ascii="Arial" w:hAnsi="Arial" w:cs="Arial"/>
      <w:b/>
      <w:color w:val="FF0000"/>
      <w:szCs w:val="20"/>
    </w:rPr>
  </w:style>
  <w:style w:type="paragraph" w:styleId="6">
    <w:name w:val="heading 6"/>
    <w:basedOn w:val="a"/>
    <w:next w:val="a"/>
    <w:link w:val="60"/>
    <w:qFormat/>
    <w:rsid w:val="00056F3A"/>
    <w:pPr>
      <w:numPr>
        <w:ilvl w:val="5"/>
        <w:numId w:val="1"/>
      </w:numPr>
      <w:spacing w:before="240" w:after="60"/>
      <w:jc w:val="center"/>
      <w:outlineLvl w:val="5"/>
    </w:pPr>
    <w:rPr>
      <w:rFonts w:ascii="Arial" w:hAnsi="Arial" w:cs="Arial"/>
      <w:i/>
      <w:color w:val="FF0000"/>
      <w:sz w:val="22"/>
      <w:szCs w:val="20"/>
    </w:rPr>
  </w:style>
  <w:style w:type="paragraph" w:styleId="7">
    <w:name w:val="heading 7"/>
    <w:basedOn w:val="a"/>
    <w:next w:val="a"/>
    <w:link w:val="70"/>
    <w:qFormat/>
    <w:rsid w:val="00056F3A"/>
    <w:pPr>
      <w:numPr>
        <w:ilvl w:val="6"/>
        <w:numId w:val="1"/>
      </w:numPr>
      <w:spacing w:before="120" w:after="60"/>
      <w:jc w:val="center"/>
      <w:outlineLvl w:val="6"/>
    </w:pPr>
    <w:rPr>
      <w:rFonts w:ascii="Arial" w:hAnsi="Arial" w:cs="Arial"/>
      <w:color w:val="FF0000"/>
      <w:sz w:val="22"/>
      <w:szCs w:val="20"/>
    </w:rPr>
  </w:style>
  <w:style w:type="paragraph" w:styleId="8">
    <w:name w:val="heading 8"/>
    <w:basedOn w:val="a"/>
    <w:next w:val="a"/>
    <w:link w:val="80"/>
    <w:qFormat/>
    <w:rsid w:val="00056F3A"/>
    <w:pPr>
      <w:numPr>
        <w:ilvl w:val="7"/>
        <w:numId w:val="1"/>
      </w:numPr>
      <w:spacing w:before="120" w:after="60"/>
      <w:jc w:val="center"/>
      <w:outlineLvl w:val="7"/>
    </w:pPr>
    <w:rPr>
      <w:rFonts w:ascii="Arial" w:hAnsi="Arial" w:cs="Arial"/>
      <w:i/>
      <w:color w:val="FF0000"/>
      <w:sz w:val="22"/>
      <w:szCs w:val="20"/>
    </w:rPr>
  </w:style>
  <w:style w:type="paragraph" w:styleId="9">
    <w:name w:val="heading 9"/>
    <w:basedOn w:val="a"/>
    <w:next w:val="a"/>
    <w:link w:val="90"/>
    <w:qFormat/>
    <w:rsid w:val="00056F3A"/>
    <w:pPr>
      <w:numPr>
        <w:ilvl w:val="8"/>
        <w:numId w:val="1"/>
      </w:numPr>
      <w:spacing w:before="120" w:after="60"/>
      <w:jc w:val="center"/>
      <w:outlineLvl w:val="8"/>
    </w:pPr>
    <w:rPr>
      <w:rFonts w:ascii="Arial" w:hAnsi="Arial" w:cs="Arial"/>
      <w:i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056F3A"/>
    <w:rPr>
      <w:rFonts w:ascii="ISOCPEUR" w:hAnsi="ISOCPEUR"/>
      <w:i/>
      <w:sz w:val="32"/>
    </w:rPr>
  </w:style>
  <w:style w:type="character" w:styleId="a3">
    <w:name w:val="Hyperlink"/>
    <w:uiPriority w:val="99"/>
    <w:unhideWhenUsed/>
    <w:rsid w:val="00056F3A"/>
    <w:rPr>
      <w:color w:val="0000FF"/>
      <w:u w:val="single"/>
    </w:rPr>
  </w:style>
  <w:style w:type="paragraph" w:customStyle="1" w:styleId="ISOCPEUR22">
    <w:name w:val="Стиль ISOCPEUR 22 пт полужирный курсив По центру Междустр.инте..."/>
    <w:basedOn w:val="a"/>
    <w:rsid w:val="00056F3A"/>
    <w:pPr>
      <w:spacing w:after="120"/>
      <w:jc w:val="center"/>
    </w:pPr>
    <w:rPr>
      <w:rFonts w:ascii="ISOCPEUR" w:hAnsi="ISOCPEUR"/>
      <w:b/>
      <w:bCs/>
      <w:i/>
      <w:iCs/>
      <w:sz w:val="44"/>
      <w:szCs w:val="20"/>
    </w:rPr>
  </w:style>
  <w:style w:type="character" w:customStyle="1" w:styleId="10">
    <w:name w:val="Заголовок 1 Знак"/>
    <w:basedOn w:val="a0"/>
    <w:link w:val="1"/>
    <w:rsid w:val="00056F3A"/>
    <w:rPr>
      <w:rFonts w:ascii="Arial" w:eastAsia="Times New Roman" w:hAnsi="Arial" w:cs="Arial"/>
      <w:b/>
      <w:color w:val="FF0000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F3A"/>
    <w:rPr>
      <w:rFonts w:ascii="ISOCPEUR" w:eastAsia="Times New Roman" w:hAnsi="ISOCPEUR" w:cs="Arial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F3A"/>
    <w:rPr>
      <w:rFonts w:ascii="Arial" w:eastAsia="Times New Roman" w:hAnsi="Arial" w:cs="Arial"/>
      <w:b/>
      <w:color w:val="FF000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6F3A"/>
    <w:rPr>
      <w:rFonts w:ascii="Arial" w:eastAsia="Times New Roman" w:hAnsi="Arial" w:cs="Arial"/>
      <w:b/>
      <w:i/>
      <w:color w:val="FF000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F3A"/>
    <w:rPr>
      <w:rFonts w:ascii="Arial" w:eastAsia="Times New Roman" w:hAnsi="Arial" w:cs="Arial"/>
      <w:b/>
      <w:color w:val="FF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6F3A"/>
    <w:rPr>
      <w:rFonts w:ascii="Arial" w:eastAsia="Times New Roman" w:hAnsi="Arial" w:cs="Arial"/>
      <w:i/>
      <w:color w:val="FF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6F3A"/>
    <w:rPr>
      <w:rFonts w:ascii="Arial" w:eastAsia="Times New Roman" w:hAnsi="Arial" w:cs="Arial"/>
      <w:color w:val="FF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6F3A"/>
    <w:rPr>
      <w:rFonts w:ascii="Arial" w:eastAsia="Times New Roman" w:hAnsi="Arial" w:cs="Arial"/>
      <w:i/>
      <w:color w:val="FF000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6F3A"/>
    <w:rPr>
      <w:rFonts w:ascii="Arial" w:eastAsia="Times New Roman" w:hAnsi="Arial" w:cs="Arial"/>
      <w:i/>
      <w:color w:val="FF0000"/>
      <w:sz w:val="24"/>
      <w:szCs w:val="20"/>
      <w:lang w:eastAsia="ru-RU"/>
    </w:rPr>
  </w:style>
  <w:style w:type="paragraph" w:styleId="a4">
    <w:name w:val="Body Text Indent"/>
    <w:basedOn w:val="a"/>
    <w:link w:val="a5"/>
    <w:rsid w:val="00056F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56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Дмитрий Игоревич</dc:creator>
  <cp:keywords/>
  <dc:description/>
  <cp:lastModifiedBy>Смолянко Ольга Игоревна</cp:lastModifiedBy>
  <cp:revision>6</cp:revision>
  <dcterms:created xsi:type="dcterms:W3CDTF">2019-08-14T13:28:00Z</dcterms:created>
  <dcterms:modified xsi:type="dcterms:W3CDTF">2019-08-27T14:09:00Z</dcterms:modified>
</cp:coreProperties>
</file>